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8C" w:rsidRDefault="00E7358C" w:rsidP="00E7358C">
      <w:pPr>
        <w:pStyle w:val="Default"/>
        <w:ind w:left="-567" w:right="-573"/>
        <w:jc w:val="center"/>
        <w:rPr>
          <w:rFonts w:ascii="Gill Sans MT Std Book" w:hAnsi="Gill Sans MT Std Book" w:cs="Arial"/>
          <w:b/>
          <w:bCs/>
          <w:color w:val="5B9BD5" w:themeColor="accent5"/>
          <w:sz w:val="28"/>
          <w:szCs w:val="28"/>
        </w:rPr>
      </w:pPr>
      <w:bookmarkStart w:id="0" w:name="_Hlk496788125"/>
      <w:r w:rsidRPr="00E72886">
        <w:rPr>
          <w:rFonts w:ascii="Gill Sans MT Std Book" w:hAnsi="Gill Sans MT Std Book" w:cs="Arial"/>
          <w:b/>
          <w:bCs/>
          <w:color w:val="5B9BD5" w:themeColor="accent5"/>
          <w:sz w:val="28"/>
          <w:szCs w:val="28"/>
        </w:rPr>
        <w:t>LES NOTES JURIDIQUES DE L’APVF</w:t>
      </w:r>
    </w:p>
    <w:p w:rsidR="00E7358C" w:rsidRPr="00E7358C" w:rsidRDefault="00E7358C" w:rsidP="00E7358C">
      <w:pPr>
        <w:pStyle w:val="Default"/>
        <w:ind w:left="-567" w:right="-573"/>
        <w:jc w:val="center"/>
        <w:rPr>
          <w:rFonts w:ascii="Gill Sans MT Std Book" w:hAnsi="Gill Sans MT Std Book" w:cs="Arial"/>
          <w:b/>
          <w:bCs/>
          <w:color w:val="5B9BD5" w:themeColor="accent5"/>
          <w:sz w:val="10"/>
          <w:szCs w:val="10"/>
        </w:rPr>
      </w:pPr>
    </w:p>
    <w:p w:rsidR="00186B47" w:rsidRPr="00D145F6" w:rsidRDefault="00186B47" w:rsidP="001970B9">
      <w:pPr>
        <w:jc w:val="center"/>
        <w:rPr>
          <w:rFonts w:ascii="Gill Sans MT" w:hAnsi="Gill Sans MT"/>
          <w:b/>
        </w:rPr>
      </w:pPr>
      <w:r w:rsidRPr="00D145F6">
        <w:rPr>
          <w:rFonts w:ascii="Gill Sans MT" w:hAnsi="Gill Sans MT"/>
          <w:b/>
          <w:noProof/>
        </w:rPr>
        <w:drawing>
          <wp:inline distT="0" distB="0" distL="0" distR="0">
            <wp:extent cx="1474107"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2633" cy="747247"/>
                    </a:xfrm>
                    <a:prstGeom prst="rect">
                      <a:avLst/>
                    </a:prstGeom>
                    <a:noFill/>
                    <a:ln>
                      <a:noFill/>
                    </a:ln>
                  </pic:spPr>
                </pic:pic>
              </a:graphicData>
            </a:graphic>
          </wp:inline>
        </w:drawing>
      </w:r>
      <w:r w:rsidR="00E7358C">
        <w:rPr>
          <w:noProof/>
          <w:lang w:eastAsia="fr-FR"/>
        </w:rPr>
        <w:drawing>
          <wp:inline distT="0" distB="0" distL="0" distR="0" wp14:anchorId="2C56E187" wp14:editId="1C16CDB0">
            <wp:extent cx="721995" cy="718050"/>
            <wp:effectExtent l="19050" t="0" r="1905" b="0"/>
            <wp:docPr id="22" name="Image 7" descr="http://www.google.fr/url?source=imglanding&amp;ct=img&amp;q=http://groupey.fr/files/2012/12/icone-droit.png&amp;sa=X&amp;ei=quxuVcXVMIHjUprFgagB&amp;ved=0CAkQ8wc4JA&amp;usg=AFQjCNHx4g94sJr4LPNYfJ7AeMRUHt82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ogle.fr/url?source=imglanding&amp;ct=img&amp;q=http://groupey.fr/files/2012/12/icone-droit.png&amp;sa=X&amp;ei=quxuVcXVMIHjUprFgagB&amp;ved=0CAkQ8wc4JA&amp;usg=AFQjCNHx4g94sJr4LPNYfJ7AeMRUHt82zg"/>
                    <pic:cNvPicPr>
                      <a:picLocks noChangeAspect="1" noChangeArrowheads="1"/>
                    </pic:cNvPicPr>
                  </pic:nvPicPr>
                  <pic:blipFill>
                    <a:blip r:embed="rId7"/>
                    <a:srcRect/>
                    <a:stretch>
                      <a:fillRect/>
                    </a:stretch>
                  </pic:blipFill>
                  <pic:spPr bwMode="auto">
                    <a:xfrm>
                      <a:off x="0" y="0"/>
                      <a:ext cx="721995" cy="718050"/>
                    </a:xfrm>
                    <a:prstGeom prst="rect">
                      <a:avLst/>
                    </a:prstGeom>
                    <a:noFill/>
                    <a:ln w="9525">
                      <a:noFill/>
                      <a:miter lim="800000"/>
                      <a:headEnd/>
                      <a:tailEnd/>
                    </a:ln>
                  </pic:spPr>
                </pic:pic>
              </a:graphicData>
            </a:graphic>
          </wp:inline>
        </w:drawing>
      </w:r>
    </w:p>
    <w:p w:rsidR="00186B47" w:rsidRPr="00D145F6" w:rsidRDefault="00E7582D" w:rsidP="001970B9">
      <w:pPr>
        <w:pStyle w:val="Default"/>
        <w:jc w:val="center"/>
        <w:rPr>
          <w:sz w:val="22"/>
          <w:szCs w:val="22"/>
        </w:rPr>
      </w:pPr>
      <w:r w:rsidRPr="00D145F6">
        <w:rPr>
          <w:b/>
          <w:bCs/>
          <w:sz w:val="22"/>
          <w:szCs w:val="22"/>
        </w:rPr>
        <w:t>Transfert des compétences « eau » et « assainissement »</w:t>
      </w:r>
    </w:p>
    <w:p w:rsidR="00186B47" w:rsidRPr="00D145F6" w:rsidRDefault="00186B47" w:rsidP="001970B9">
      <w:pPr>
        <w:pStyle w:val="Default"/>
        <w:jc w:val="center"/>
        <w:rPr>
          <w:sz w:val="22"/>
          <w:szCs w:val="22"/>
        </w:rPr>
      </w:pPr>
      <w:r w:rsidRPr="00D145F6">
        <w:rPr>
          <w:sz w:val="22"/>
          <w:szCs w:val="22"/>
        </w:rPr>
        <w:t xml:space="preserve">Note </w:t>
      </w:r>
      <w:r w:rsidR="00510B68" w:rsidRPr="00D145F6">
        <w:rPr>
          <w:sz w:val="22"/>
          <w:szCs w:val="22"/>
        </w:rPr>
        <w:t xml:space="preserve">globale </w:t>
      </w:r>
      <w:r w:rsidRPr="00D145F6">
        <w:rPr>
          <w:sz w:val="22"/>
          <w:szCs w:val="22"/>
        </w:rPr>
        <w:t>d’explication</w:t>
      </w:r>
    </w:p>
    <w:p w:rsidR="00311E6D" w:rsidRPr="00D145F6" w:rsidRDefault="00A0344F" w:rsidP="001970B9">
      <w:pPr>
        <w:jc w:val="center"/>
        <w:rPr>
          <w:rFonts w:ascii="Gill Sans MT" w:hAnsi="Gill Sans MT"/>
          <w:b/>
        </w:rPr>
      </w:pPr>
      <w:r>
        <w:rPr>
          <w:rFonts w:ascii="Gill Sans MT" w:hAnsi="Gill Sans MT"/>
        </w:rPr>
        <w:t xml:space="preserve">Novembre </w:t>
      </w:r>
      <w:r w:rsidR="00E7582D" w:rsidRPr="00D145F6">
        <w:rPr>
          <w:rFonts w:ascii="Gill Sans MT" w:hAnsi="Gill Sans MT"/>
        </w:rPr>
        <w:t>2017</w:t>
      </w:r>
    </w:p>
    <w:p w:rsidR="004C4BB2" w:rsidRPr="00D145F6" w:rsidRDefault="004C4BB2" w:rsidP="002F536A">
      <w:pPr>
        <w:pBdr>
          <w:bottom w:val="single" w:sz="12" w:space="1" w:color="5B9BD5" w:themeColor="accent5"/>
        </w:pBdr>
        <w:jc w:val="both"/>
        <w:rPr>
          <w:rFonts w:ascii="Gill Sans MT" w:hAnsi="Gill Sans MT"/>
          <w:b/>
          <w:color w:val="5B9BD5" w:themeColor="accent5"/>
        </w:rPr>
      </w:pPr>
      <w:r w:rsidRPr="00D145F6">
        <w:rPr>
          <w:rFonts w:ascii="Gill Sans MT" w:hAnsi="Gill Sans MT"/>
          <w:b/>
          <w:color w:val="5B9BD5" w:themeColor="accent5"/>
        </w:rPr>
        <w:t>Introduction</w:t>
      </w:r>
    </w:p>
    <w:p w:rsidR="00300B3D" w:rsidRPr="00300B3D" w:rsidRDefault="00300B3D" w:rsidP="000C595E">
      <w:pPr>
        <w:jc w:val="both"/>
        <w:rPr>
          <w:rFonts w:ascii="Gill Sans MT" w:hAnsi="Gill Sans MT"/>
          <w:b/>
        </w:rPr>
      </w:pPr>
      <w:r w:rsidRPr="00300B3D">
        <w:rPr>
          <w:rFonts w:ascii="Gill Sans MT" w:hAnsi="Gill Sans MT"/>
          <w:b/>
        </w:rPr>
        <w:t xml:space="preserve">A. Ce que change la loi </w:t>
      </w:r>
      <w:proofErr w:type="spellStart"/>
      <w:r w:rsidRPr="00300B3D">
        <w:rPr>
          <w:rFonts w:ascii="Gill Sans MT" w:hAnsi="Gill Sans MT"/>
          <w:b/>
        </w:rPr>
        <w:t>NOTR</w:t>
      </w:r>
      <w:r w:rsidR="00AD1EB8">
        <w:rPr>
          <w:rFonts w:ascii="Gill Sans MT" w:hAnsi="Gill Sans MT"/>
          <w:b/>
        </w:rPr>
        <w:t>e</w:t>
      </w:r>
      <w:proofErr w:type="spellEnd"/>
    </w:p>
    <w:p w:rsidR="000C595E" w:rsidRPr="000D3C51" w:rsidRDefault="000C595E" w:rsidP="000C595E">
      <w:pPr>
        <w:jc w:val="both"/>
        <w:rPr>
          <w:rFonts w:ascii="Gill Sans MT" w:hAnsi="Gill Sans MT"/>
        </w:rPr>
      </w:pPr>
      <w:r w:rsidRPr="000D3C51">
        <w:rPr>
          <w:rFonts w:ascii="Gill Sans MT" w:hAnsi="Gill Sans MT"/>
        </w:rPr>
        <w:t xml:space="preserve">Les articles 64 et 66 de la loi n°2015-991du 7 août 2015 portant nouvelle organisation territoriale de la République (loi </w:t>
      </w:r>
      <w:proofErr w:type="spellStart"/>
      <w:r w:rsidRPr="000D3C51">
        <w:rPr>
          <w:rFonts w:ascii="Gill Sans MT" w:hAnsi="Gill Sans MT"/>
        </w:rPr>
        <w:t>NOTRe</w:t>
      </w:r>
      <w:proofErr w:type="spellEnd"/>
      <w:r w:rsidRPr="000D3C51">
        <w:rPr>
          <w:rFonts w:ascii="Gill Sans MT" w:hAnsi="Gill Sans MT"/>
        </w:rPr>
        <w:t>), modifiant les articles L. 5214-16 et L. 5216-5 du code général des collectivités territoriales, ont organisé le transfert obligatoire, au 1</w:t>
      </w:r>
      <w:r w:rsidRPr="000D3C51">
        <w:rPr>
          <w:rFonts w:ascii="Gill Sans MT" w:hAnsi="Gill Sans MT"/>
          <w:vertAlign w:val="superscript"/>
        </w:rPr>
        <w:t>er</w:t>
      </w:r>
      <w:r w:rsidRPr="000D3C51">
        <w:rPr>
          <w:rFonts w:ascii="Gill Sans MT" w:hAnsi="Gill Sans MT"/>
        </w:rPr>
        <w:t xml:space="preserve"> janvier 2020, des compétences communales « eau » et « assainissement » aux établissements publics de coopération intercommunale à fiscalité propre (EPCI) qui ne l’exerçaient pas déjà. Il s’agit principalement des communautés de communes et d’agglomération. </w:t>
      </w:r>
    </w:p>
    <w:p w:rsidR="00615AEB" w:rsidRDefault="000C595E" w:rsidP="00300B3D">
      <w:pPr>
        <w:spacing w:after="120"/>
        <w:jc w:val="both"/>
        <w:rPr>
          <w:rFonts w:ascii="Gill Sans MT" w:hAnsi="Gill Sans MT"/>
          <w:bCs/>
        </w:rPr>
      </w:pPr>
      <w:r w:rsidRPr="000D3C51">
        <w:rPr>
          <w:rFonts w:ascii="Gill Sans MT" w:hAnsi="Gill Sans MT"/>
          <w:bCs/>
        </w:rPr>
        <w:t xml:space="preserve">Les compétences « eau » et « assainissement » étaient, avant la loi </w:t>
      </w:r>
      <w:proofErr w:type="spellStart"/>
      <w:r w:rsidRPr="000D3C51">
        <w:rPr>
          <w:rFonts w:ascii="Gill Sans MT" w:hAnsi="Gill Sans MT"/>
          <w:bCs/>
        </w:rPr>
        <w:t>NOTRe</w:t>
      </w:r>
      <w:proofErr w:type="spellEnd"/>
      <w:r w:rsidRPr="000D3C51">
        <w:rPr>
          <w:rFonts w:ascii="Gill Sans MT" w:hAnsi="Gill Sans MT"/>
          <w:bCs/>
        </w:rPr>
        <w:t>, déjà au nombre des compétences obligatoires des communautés urbaines et des métropoles. Ainsi, les communes qui deviendraient membres d’une communauté urbaine ou d’une métropole (par extension d’une communauté urbaine ou d’une métropole existante ou par transformation d’une ancienne communauté d’agglomération) verraient, au même moment, ces deux compétences transférées à l’EPCI.</w:t>
      </w:r>
    </w:p>
    <w:p w:rsidR="00300B3D" w:rsidRPr="00300B3D" w:rsidRDefault="00300B3D" w:rsidP="00300B3D">
      <w:pPr>
        <w:spacing w:after="120"/>
        <w:jc w:val="both"/>
        <w:rPr>
          <w:rFonts w:ascii="Gill Sans MT" w:hAnsi="Gill Sans MT"/>
          <w:b/>
          <w:bCs/>
        </w:rPr>
      </w:pPr>
      <w:r w:rsidRPr="00300B3D">
        <w:rPr>
          <w:rFonts w:ascii="Gill Sans MT" w:hAnsi="Gill Sans MT"/>
          <w:b/>
          <w:bCs/>
        </w:rPr>
        <w:t xml:space="preserve">B. Rappel du périmètre des compétences « eau » et « assainissement » </w:t>
      </w:r>
    </w:p>
    <w:p w:rsidR="000C595E" w:rsidRPr="000D3C51" w:rsidRDefault="0057776E" w:rsidP="00300B3D">
      <w:pPr>
        <w:spacing w:after="120" w:line="240" w:lineRule="auto"/>
        <w:jc w:val="both"/>
        <w:rPr>
          <w:rFonts w:ascii="Gill Sans MT" w:eastAsia="Calibri" w:hAnsi="Gill Sans MT" w:cs="Arial"/>
          <w:bCs/>
          <w:u w:color="000000"/>
          <w:bdr w:val="nil"/>
        </w:rPr>
      </w:pPr>
      <w:r w:rsidRPr="000D3C51">
        <w:rPr>
          <w:rFonts w:ascii="Gill Sans MT" w:eastAsia="Calibri" w:hAnsi="Gill Sans MT" w:cs="Arial"/>
          <w:bCs/>
          <w:u w:color="000000"/>
          <w:bdr w:val="nil"/>
        </w:rPr>
        <w:t>Pour rappel, le périmètre des compétences « e</w:t>
      </w:r>
      <w:r w:rsidR="000C595E" w:rsidRPr="000D3C51">
        <w:rPr>
          <w:rFonts w:ascii="Gill Sans MT" w:eastAsia="Calibri" w:hAnsi="Gill Sans MT" w:cs="Arial"/>
          <w:bCs/>
          <w:u w:color="000000"/>
          <w:bdr w:val="nil"/>
        </w:rPr>
        <w:t>au</w:t>
      </w:r>
      <w:r w:rsidRPr="000D3C51">
        <w:rPr>
          <w:rFonts w:ascii="Gill Sans MT" w:eastAsia="Calibri" w:hAnsi="Gill Sans MT" w:cs="Arial"/>
          <w:bCs/>
          <w:u w:color="000000"/>
          <w:bdr w:val="nil"/>
        </w:rPr>
        <w:t> » et « a</w:t>
      </w:r>
      <w:r w:rsidR="000C595E" w:rsidRPr="000D3C51">
        <w:rPr>
          <w:rFonts w:ascii="Gill Sans MT" w:eastAsia="Calibri" w:hAnsi="Gill Sans MT" w:cs="Arial"/>
          <w:bCs/>
          <w:u w:color="000000"/>
          <w:bdr w:val="nil"/>
        </w:rPr>
        <w:t>ssainissement</w:t>
      </w:r>
      <w:r w:rsidRPr="000D3C51">
        <w:rPr>
          <w:rFonts w:ascii="Gill Sans MT" w:eastAsia="Calibri" w:hAnsi="Gill Sans MT" w:cs="Arial"/>
          <w:bCs/>
          <w:u w:color="000000"/>
          <w:bdr w:val="nil"/>
        </w:rPr>
        <w:t> »</w:t>
      </w:r>
      <w:r w:rsidR="000C595E" w:rsidRPr="000D3C51">
        <w:rPr>
          <w:rFonts w:ascii="Gill Sans MT" w:eastAsia="Calibri" w:hAnsi="Gill Sans MT" w:cs="Arial"/>
          <w:bCs/>
          <w:u w:color="000000"/>
          <w:bdr w:val="nil"/>
        </w:rPr>
        <w:t xml:space="preserve"> n’est pas laissé à la libre détermination des communes membres ; </w:t>
      </w:r>
      <w:r w:rsidR="000C595E" w:rsidRPr="000D3C51">
        <w:rPr>
          <w:rFonts w:ascii="Gill Sans MT" w:eastAsia="Calibri" w:hAnsi="Gill Sans MT" w:cs="Arial"/>
          <w:bCs/>
          <w:u w:val="single"/>
          <w:bdr w:val="nil"/>
        </w:rPr>
        <w:t>il procède d’une définition légale, affinée par la jurisprudence</w:t>
      </w:r>
      <w:r w:rsidR="000C595E" w:rsidRPr="000D3C51">
        <w:rPr>
          <w:rFonts w:ascii="Gill Sans MT" w:eastAsia="Calibri" w:hAnsi="Gill Sans MT" w:cs="Arial"/>
          <w:bCs/>
          <w:u w:color="000000"/>
          <w:bdr w:val="nil"/>
        </w:rPr>
        <w:t>.</w:t>
      </w:r>
    </w:p>
    <w:p w:rsidR="000C595E" w:rsidRPr="000D3C51" w:rsidRDefault="0057776E" w:rsidP="00300B3D">
      <w:pPr>
        <w:spacing w:after="120" w:line="240" w:lineRule="auto"/>
        <w:jc w:val="both"/>
        <w:rPr>
          <w:rFonts w:ascii="Gill Sans MT" w:eastAsia="Calibri" w:hAnsi="Gill Sans MT" w:cs="Arial"/>
          <w:bCs/>
          <w:u w:color="000000"/>
          <w:bdr w:val="nil"/>
        </w:rPr>
      </w:pPr>
      <w:r w:rsidRPr="000D3C51">
        <w:rPr>
          <w:rFonts w:ascii="Gill Sans MT" w:eastAsia="Calibri" w:hAnsi="Gill Sans MT" w:cs="Arial"/>
          <w:b/>
          <w:bCs/>
          <w:i/>
          <w:color w:val="4472C4" w:themeColor="accent1"/>
          <w:u w:color="000000"/>
          <w:bdr w:val="nil"/>
        </w:rPr>
        <w:t>La compétence « e</w:t>
      </w:r>
      <w:r w:rsidR="000C595E" w:rsidRPr="000D3C51">
        <w:rPr>
          <w:rFonts w:ascii="Gill Sans MT" w:eastAsia="Calibri" w:hAnsi="Gill Sans MT" w:cs="Arial"/>
          <w:b/>
          <w:bCs/>
          <w:i/>
          <w:color w:val="4472C4" w:themeColor="accent1"/>
          <w:u w:color="000000"/>
          <w:bdr w:val="nil"/>
        </w:rPr>
        <w:t>au »</w:t>
      </w:r>
    </w:p>
    <w:p w:rsidR="000C595E" w:rsidRPr="000D3C51" w:rsidRDefault="0057776E" w:rsidP="00300B3D">
      <w:pPr>
        <w:spacing w:after="120" w:line="240" w:lineRule="auto"/>
        <w:jc w:val="both"/>
        <w:rPr>
          <w:rFonts w:ascii="Gill Sans MT" w:eastAsia="Calibri" w:hAnsi="Gill Sans MT" w:cs="Arial"/>
          <w:bCs/>
          <w:u w:color="000000"/>
          <w:bdr w:val="nil"/>
        </w:rPr>
      </w:pPr>
      <w:r w:rsidRPr="000D3C51">
        <w:rPr>
          <w:rFonts w:ascii="Gill Sans MT" w:eastAsia="Calibri" w:hAnsi="Gill Sans MT" w:cs="Arial"/>
          <w:bCs/>
          <w:u w:color="000000"/>
          <w:bdr w:val="nil"/>
        </w:rPr>
        <w:t>La compétence « eau »</w:t>
      </w:r>
      <w:r w:rsidR="000C595E" w:rsidRPr="000D3C51">
        <w:rPr>
          <w:rFonts w:ascii="Gill Sans MT" w:eastAsia="Calibri" w:hAnsi="Gill Sans MT" w:cs="Arial"/>
          <w:bCs/>
          <w:u w:color="000000"/>
          <w:bdr w:val="nil"/>
        </w:rPr>
        <w:t xml:space="preserve"> est déf</w:t>
      </w:r>
      <w:r w:rsidRPr="000D3C51">
        <w:rPr>
          <w:rFonts w:ascii="Gill Sans MT" w:eastAsia="Calibri" w:hAnsi="Gill Sans MT" w:cs="Arial"/>
          <w:bCs/>
          <w:u w:color="000000"/>
          <w:bdr w:val="nil"/>
        </w:rPr>
        <w:t>inie par l’article L.2224-7 du C</w:t>
      </w:r>
      <w:r w:rsidR="000C595E" w:rsidRPr="000D3C51">
        <w:rPr>
          <w:rFonts w:ascii="Gill Sans MT" w:eastAsia="Calibri" w:hAnsi="Gill Sans MT" w:cs="Arial"/>
          <w:bCs/>
          <w:u w:color="000000"/>
          <w:bdr w:val="nil"/>
        </w:rPr>
        <w:t>ode général des collectivités territoriales qui prévoit que « </w:t>
      </w:r>
      <w:r w:rsidR="000C595E" w:rsidRPr="000D3C51">
        <w:rPr>
          <w:rFonts w:ascii="Gill Sans MT" w:eastAsia="Calibri" w:hAnsi="Gill Sans MT" w:cs="Arial"/>
          <w:bCs/>
          <w:i/>
          <w:u w:color="000000"/>
          <w:bdr w:val="nil"/>
        </w:rPr>
        <w:t>tout service assurant tout ou partie de la production par captage ou pompage, de la protection du point de prélèvement, du traitement, du transport, du stockage et de la distribution d'eau destinée à la consommation humaine est un service d'eau potable</w:t>
      </w:r>
      <w:r w:rsidRPr="000D3C51">
        <w:rPr>
          <w:rFonts w:ascii="Gill Sans MT" w:eastAsia="Calibri" w:hAnsi="Gill Sans MT" w:cs="Arial"/>
          <w:bCs/>
          <w:u w:color="000000"/>
          <w:bdr w:val="nil"/>
        </w:rPr>
        <w:t> ». A ajouter</w:t>
      </w:r>
      <w:r w:rsidR="002D2D14" w:rsidRPr="000D3C51">
        <w:rPr>
          <w:rFonts w:ascii="Gill Sans MT" w:eastAsia="Calibri" w:hAnsi="Gill Sans MT" w:cs="Arial"/>
          <w:bCs/>
          <w:u w:color="000000"/>
          <w:bdr w:val="nil"/>
        </w:rPr>
        <w:t xml:space="preserve"> également que lorsqu’une collectivité s’empare de la compétence « </w:t>
      </w:r>
      <w:r w:rsidR="000C595E" w:rsidRPr="000D3C51">
        <w:rPr>
          <w:rFonts w:ascii="Gill Sans MT" w:eastAsia="Calibri" w:hAnsi="Gill Sans MT" w:cs="Arial"/>
          <w:bCs/>
          <w:u w:color="000000"/>
          <w:bdr w:val="nil"/>
        </w:rPr>
        <w:t>eau</w:t>
      </w:r>
      <w:r w:rsidR="002D2D14" w:rsidRPr="000D3C51">
        <w:rPr>
          <w:rFonts w:ascii="Gill Sans MT" w:eastAsia="Calibri" w:hAnsi="Gill Sans MT" w:cs="Arial"/>
          <w:bCs/>
          <w:u w:color="000000"/>
          <w:bdr w:val="nil"/>
        </w:rPr>
        <w:t xml:space="preserve"> », elle devient compétente </w:t>
      </w:r>
      <w:r w:rsidR="000C595E" w:rsidRPr="000D3C51">
        <w:rPr>
          <w:rFonts w:ascii="Gill Sans MT" w:eastAsia="Calibri" w:hAnsi="Gill Sans MT" w:cs="Arial"/>
          <w:bCs/>
          <w:u w:color="000000"/>
          <w:bdr w:val="nil"/>
        </w:rPr>
        <w:t>pour arrêter le « </w:t>
      </w:r>
      <w:r w:rsidR="000C595E" w:rsidRPr="000D3C51">
        <w:rPr>
          <w:rFonts w:ascii="Gill Sans MT" w:eastAsia="Calibri" w:hAnsi="Gill Sans MT" w:cs="Arial"/>
          <w:bCs/>
          <w:i/>
          <w:u w:color="000000"/>
          <w:bdr w:val="nil"/>
        </w:rPr>
        <w:t>schéma de distribution d'eau potable</w:t>
      </w:r>
      <w:r w:rsidR="000C595E" w:rsidRPr="000D3C51">
        <w:rPr>
          <w:rFonts w:ascii="Gill Sans MT" w:eastAsia="Calibri" w:hAnsi="Gill Sans MT" w:cs="Arial"/>
          <w:bCs/>
          <w:u w:color="000000"/>
          <w:bdr w:val="nil"/>
        </w:rPr>
        <w:t> » déterminant les zones desservies par le réseau de distribution.</w:t>
      </w:r>
    </w:p>
    <w:p w:rsidR="000C595E" w:rsidRPr="000D3C51" w:rsidRDefault="000C595E" w:rsidP="00300B3D">
      <w:pPr>
        <w:spacing w:after="120" w:line="240" w:lineRule="auto"/>
        <w:jc w:val="both"/>
        <w:rPr>
          <w:rFonts w:ascii="Gill Sans MT" w:eastAsia="Calibri" w:hAnsi="Gill Sans MT" w:cs="Arial"/>
          <w:bCs/>
          <w:u w:color="000000"/>
          <w:bdr w:val="nil"/>
        </w:rPr>
      </w:pPr>
      <w:r w:rsidRPr="000D3C51">
        <w:rPr>
          <w:rFonts w:ascii="Gill Sans MT" w:eastAsia="Calibri" w:hAnsi="Gill Sans MT" w:cs="Arial"/>
          <w:bCs/>
          <w:u w:color="000000"/>
          <w:bdr w:val="nil"/>
        </w:rPr>
        <w:t>En revanche, le service public de la « </w:t>
      </w:r>
      <w:r w:rsidRPr="000D3C51">
        <w:rPr>
          <w:rFonts w:ascii="Gill Sans MT" w:eastAsia="Calibri" w:hAnsi="Gill Sans MT" w:cs="Arial"/>
          <w:bCs/>
          <w:i/>
          <w:u w:color="000000"/>
          <w:bdr w:val="nil"/>
        </w:rPr>
        <w:t>défense extérieure contre l’incendie</w:t>
      </w:r>
      <w:r w:rsidRPr="000D3C51">
        <w:rPr>
          <w:rFonts w:ascii="Gill Sans MT" w:eastAsia="Calibri" w:hAnsi="Gill Sans MT" w:cs="Arial"/>
          <w:bCs/>
          <w:u w:color="000000"/>
          <w:bdr w:val="nil"/>
        </w:rPr>
        <w:t> » (DECI) ne s’</w:t>
      </w:r>
      <w:r w:rsidR="002D2D14" w:rsidRPr="000D3C51">
        <w:rPr>
          <w:rFonts w:ascii="Gill Sans MT" w:eastAsia="Calibri" w:hAnsi="Gill Sans MT" w:cs="Arial"/>
          <w:bCs/>
          <w:u w:color="000000"/>
          <w:bdr w:val="nil"/>
        </w:rPr>
        <w:t>inscrit pas dans la compétence « e</w:t>
      </w:r>
      <w:r w:rsidRPr="000D3C51">
        <w:rPr>
          <w:rFonts w:ascii="Gill Sans MT" w:eastAsia="Calibri" w:hAnsi="Gill Sans MT" w:cs="Arial"/>
          <w:bCs/>
          <w:u w:color="000000"/>
          <w:bdr w:val="nil"/>
        </w:rPr>
        <w:t>au</w:t>
      </w:r>
      <w:r w:rsidR="002D2D14" w:rsidRPr="000D3C51">
        <w:rPr>
          <w:rFonts w:ascii="Gill Sans MT" w:eastAsia="Calibri" w:hAnsi="Gill Sans MT" w:cs="Arial"/>
          <w:bCs/>
          <w:u w:color="000000"/>
          <w:bdr w:val="nil"/>
        </w:rPr>
        <w:t> »</w:t>
      </w:r>
      <w:r w:rsidRPr="000D3C51">
        <w:rPr>
          <w:rFonts w:ascii="Gill Sans MT" w:eastAsia="Calibri" w:hAnsi="Gill Sans MT" w:cs="Arial"/>
          <w:bCs/>
          <w:u w:color="000000"/>
          <w:bdr w:val="nil"/>
        </w:rPr>
        <w:t xml:space="preserve">. Ce service pourra évidemment faire l’objet d’un transfert à l’EPCI, mais seulement par un transfert spontané, conformément aux règles de droit commun du transfert de compétences (moitié des communes représentant les deux tiers de la population ou l’inverse). </w:t>
      </w:r>
    </w:p>
    <w:p w:rsidR="009E3BB1" w:rsidRPr="000D3C51" w:rsidRDefault="0057776E" w:rsidP="00300B3D">
      <w:pPr>
        <w:spacing w:after="120" w:line="240" w:lineRule="auto"/>
        <w:jc w:val="both"/>
        <w:rPr>
          <w:rFonts w:ascii="Gill Sans MT" w:eastAsia="Calibri" w:hAnsi="Gill Sans MT" w:cs="Arial"/>
          <w:bCs/>
          <w:u w:color="000000"/>
          <w:bdr w:val="nil"/>
        </w:rPr>
      </w:pPr>
      <w:r w:rsidRPr="000D3C51">
        <w:rPr>
          <w:rFonts w:ascii="Gill Sans MT" w:eastAsia="Calibri" w:hAnsi="Gill Sans MT" w:cs="Arial"/>
          <w:b/>
          <w:bCs/>
          <w:i/>
          <w:color w:val="4472C4" w:themeColor="accent1"/>
          <w:u w:color="000000"/>
          <w:bdr w:val="nil"/>
        </w:rPr>
        <w:t>La compétence « a</w:t>
      </w:r>
      <w:r w:rsidR="000C595E" w:rsidRPr="000D3C51">
        <w:rPr>
          <w:rFonts w:ascii="Gill Sans MT" w:eastAsia="Calibri" w:hAnsi="Gill Sans MT" w:cs="Arial"/>
          <w:b/>
          <w:bCs/>
          <w:i/>
          <w:color w:val="4472C4" w:themeColor="accent1"/>
          <w:u w:color="000000"/>
          <w:bdr w:val="nil"/>
        </w:rPr>
        <w:t>ssainissement</w:t>
      </w:r>
      <w:r w:rsidRPr="000D3C51">
        <w:rPr>
          <w:rFonts w:ascii="Gill Sans MT" w:eastAsia="Calibri" w:hAnsi="Gill Sans MT" w:cs="Arial"/>
          <w:b/>
          <w:bCs/>
          <w:i/>
          <w:color w:val="4472C4" w:themeColor="accent1"/>
          <w:u w:color="000000"/>
          <w:bdr w:val="nil"/>
        </w:rPr>
        <w:t> »</w:t>
      </w:r>
    </w:p>
    <w:p w:rsidR="000C595E" w:rsidRPr="000D3C51" w:rsidRDefault="000C595E" w:rsidP="00300B3D">
      <w:pPr>
        <w:spacing w:after="120" w:line="240" w:lineRule="auto"/>
        <w:jc w:val="both"/>
        <w:rPr>
          <w:rFonts w:ascii="Gill Sans MT" w:eastAsia="Calibri" w:hAnsi="Gill Sans MT" w:cs="Arial"/>
          <w:bCs/>
          <w:u w:color="000000"/>
          <w:bdr w:val="nil"/>
        </w:rPr>
      </w:pPr>
      <w:r w:rsidRPr="000D3C51">
        <w:rPr>
          <w:rFonts w:ascii="Gill Sans MT" w:eastAsia="Calibri" w:hAnsi="Gill Sans MT" w:cs="Arial"/>
          <w:bCs/>
          <w:u w:color="000000"/>
          <w:bdr w:val="nil"/>
        </w:rPr>
        <w:t xml:space="preserve">La compétence </w:t>
      </w:r>
      <w:r w:rsidR="0057776E" w:rsidRPr="000D3C51">
        <w:rPr>
          <w:rFonts w:ascii="Gill Sans MT" w:eastAsia="Calibri" w:hAnsi="Gill Sans MT" w:cs="Arial"/>
          <w:bCs/>
          <w:u w:color="000000"/>
          <w:bdr w:val="nil"/>
        </w:rPr>
        <w:t xml:space="preserve">« assainissement » </w:t>
      </w:r>
      <w:r w:rsidRPr="000D3C51">
        <w:rPr>
          <w:rFonts w:ascii="Gill Sans MT" w:eastAsia="Calibri" w:hAnsi="Gill Sans MT" w:cs="Arial"/>
          <w:bCs/>
          <w:u w:color="000000"/>
          <w:bdr w:val="nil"/>
        </w:rPr>
        <w:t>ne recouvre pas seulement l’assainissement collectif, à savoir « </w:t>
      </w:r>
      <w:r w:rsidRPr="000D3C51">
        <w:rPr>
          <w:rFonts w:ascii="Gill Sans MT" w:eastAsia="Calibri" w:hAnsi="Gill Sans MT" w:cs="Arial"/>
          <w:bCs/>
          <w:i/>
          <w:u w:color="000000"/>
          <w:bdr w:val="nil"/>
        </w:rPr>
        <w:t>le contrôle des raccordements au réseau public de collecte, la collecte, le transport et l'épuration des eaux usées, ainsi que l'élimination des boues produites </w:t>
      </w:r>
      <w:r w:rsidRPr="000D3C51">
        <w:rPr>
          <w:rFonts w:ascii="Gill Sans MT" w:eastAsia="Calibri" w:hAnsi="Gill Sans MT" w:cs="Arial"/>
          <w:bCs/>
          <w:u w:color="000000"/>
          <w:bdr w:val="nil"/>
        </w:rPr>
        <w:t xml:space="preserve">» (art. L.2224-8 du CGCT) mais également l’assainissement non-collectif. </w:t>
      </w:r>
    </w:p>
    <w:p w:rsidR="00615AEB" w:rsidRPr="00300B3D" w:rsidRDefault="000C595E" w:rsidP="00300B3D">
      <w:pPr>
        <w:spacing w:after="240" w:line="240" w:lineRule="auto"/>
        <w:jc w:val="both"/>
        <w:rPr>
          <w:rFonts w:ascii="Gill Sans MT" w:eastAsia="Calibri" w:hAnsi="Gill Sans MT" w:cs="Arial"/>
          <w:bCs/>
          <w:u w:color="000000"/>
          <w:bdr w:val="nil"/>
        </w:rPr>
      </w:pPr>
      <w:r w:rsidRPr="000D3C51">
        <w:rPr>
          <w:rFonts w:ascii="Gill Sans MT" w:eastAsia="Calibri" w:hAnsi="Gill Sans MT" w:cs="Arial"/>
          <w:bCs/>
          <w:u w:color="000000"/>
          <w:bdr w:val="nil"/>
        </w:rPr>
        <w:t xml:space="preserve">Sur ce point, la loi </w:t>
      </w:r>
      <w:proofErr w:type="spellStart"/>
      <w:r w:rsidRPr="000D3C51">
        <w:rPr>
          <w:rFonts w:ascii="Gill Sans MT" w:eastAsia="Calibri" w:hAnsi="Gill Sans MT" w:cs="Arial"/>
          <w:bCs/>
          <w:u w:color="000000"/>
          <w:bdr w:val="nil"/>
        </w:rPr>
        <w:t>NOTRe</w:t>
      </w:r>
      <w:proofErr w:type="spellEnd"/>
      <w:r w:rsidRPr="000D3C51">
        <w:rPr>
          <w:rFonts w:ascii="Gill Sans MT" w:eastAsia="Calibri" w:hAnsi="Gill Sans MT" w:cs="Arial"/>
          <w:bCs/>
          <w:u w:color="000000"/>
          <w:bdr w:val="nil"/>
        </w:rPr>
        <w:t xml:space="preserve"> emporte une conséquence importante pour les communes membres des communautés de communes, qui n’ont transféré que l’assainissement collectif à leur EPCI. La loi ne visant désormais plus le transfert de « </w:t>
      </w:r>
      <w:r w:rsidRPr="000D3C51">
        <w:rPr>
          <w:rFonts w:ascii="Gill Sans MT" w:eastAsia="Calibri" w:hAnsi="Gill Sans MT" w:cs="Arial"/>
          <w:bCs/>
          <w:i/>
          <w:u w:color="000000"/>
          <w:bdr w:val="nil"/>
        </w:rPr>
        <w:t>tout ou partie de l’assainissement</w:t>
      </w:r>
      <w:r w:rsidRPr="000D3C51">
        <w:rPr>
          <w:rFonts w:ascii="Gill Sans MT" w:eastAsia="Calibri" w:hAnsi="Gill Sans MT" w:cs="Arial"/>
          <w:bCs/>
          <w:u w:color="000000"/>
          <w:bdr w:val="nil"/>
        </w:rPr>
        <w:t> » mais de « </w:t>
      </w:r>
      <w:r w:rsidRPr="000D3C51">
        <w:rPr>
          <w:rFonts w:ascii="Gill Sans MT" w:eastAsia="Calibri" w:hAnsi="Gill Sans MT" w:cs="Arial"/>
          <w:bCs/>
          <w:i/>
          <w:u w:color="000000"/>
          <w:bdr w:val="nil"/>
        </w:rPr>
        <w:t>l’assainissement</w:t>
      </w:r>
      <w:r w:rsidRPr="000D3C51">
        <w:rPr>
          <w:rFonts w:ascii="Gill Sans MT" w:eastAsia="Calibri" w:hAnsi="Gill Sans MT" w:cs="Arial"/>
          <w:bCs/>
          <w:u w:color="000000"/>
          <w:bdr w:val="nil"/>
        </w:rPr>
        <w:t> » dans son ensemble, il conviendra de rendre l’EPCI intégralement compétent en la matière avant le 1</w:t>
      </w:r>
      <w:r w:rsidRPr="000D3C51">
        <w:rPr>
          <w:rFonts w:ascii="Gill Sans MT" w:eastAsia="Calibri" w:hAnsi="Gill Sans MT" w:cs="Arial"/>
          <w:bCs/>
          <w:u w:color="000000"/>
          <w:bdr w:val="nil"/>
          <w:vertAlign w:val="superscript"/>
        </w:rPr>
        <w:t>er</w:t>
      </w:r>
      <w:r w:rsidRPr="000D3C51">
        <w:rPr>
          <w:rFonts w:ascii="Gill Sans MT" w:eastAsia="Calibri" w:hAnsi="Gill Sans MT" w:cs="Arial"/>
          <w:bCs/>
          <w:u w:color="000000"/>
          <w:bdr w:val="nil"/>
        </w:rPr>
        <w:t xml:space="preserve"> </w:t>
      </w:r>
      <w:r w:rsidRPr="000D3C51">
        <w:rPr>
          <w:rFonts w:ascii="Gill Sans MT" w:eastAsia="Calibri" w:hAnsi="Gill Sans MT" w:cs="Arial"/>
          <w:bCs/>
          <w:u w:color="000000"/>
          <w:bdr w:val="nil"/>
        </w:rPr>
        <w:lastRenderedPageBreak/>
        <w:t>janvier 2018, sauf à ce que la compétence partielle ne soit pas comptabilisée au nombre des trois compétences optionnelles minimales que la communauté de communes se doit d’exercer.</w:t>
      </w:r>
    </w:p>
    <w:p w:rsidR="004C4BB2" w:rsidRPr="000C595E" w:rsidRDefault="000C595E" w:rsidP="00C5259C">
      <w:pPr>
        <w:pStyle w:val="Paragraphedeliste"/>
        <w:numPr>
          <w:ilvl w:val="0"/>
          <w:numId w:val="1"/>
        </w:numPr>
        <w:pBdr>
          <w:bottom w:val="single" w:sz="12" w:space="1" w:color="5B9BD5" w:themeColor="accent5"/>
        </w:pBdr>
        <w:ind w:left="284" w:hanging="284"/>
        <w:jc w:val="both"/>
        <w:rPr>
          <w:rFonts w:ascii="Gill Sans MT" w:hAnsi="Gill Sans MT"/>
          <w:b/>
          <w:color w:val="5B9BD5" w:themeColor="accent5"/>
        </w:rPr>
      </w:pPr>
      <w:r w:rsidRPr="000C595E">
        <w:rPr>
          <w:rFonts w:ascii="Gill Sans MT" w:hAnsi="Gill Sans MT"/>
          <w:b/>
          <w:color w:val="5B9BD5" w:themeColor="accent5"/>
        </w:rPr>
        <w:t>Rappel du droit applicable pour les C</w:t>
      </w:r>
      <w:r w:rsidR="00AD1EB8">
        <w:rPr>
          <w:rFonts w:ascii="Gill Sans MT" w:hAnsi="Gill Sans MT"/>
          <w:b/>
          <w:color w:val="5B9BD5" w:themeColor="accent5"/>
        </w:rPr>
        <w:t>A</w:t>
      </w:r>
      <w:r w:rsidRPr="000C595E">
        <w:rPr>
          <w:rFonts w:ascii="Gill Sans MT" w:hAnsi="Gill Sans MT"/>
          <w:b/>
          <w:color w:val="5B9BD5" w:themeColor="accent5"/>
        </w:rPr>
        <w:t xml:space="preserve"> et C</w:t>
      </w:r>
      <w:r w:rsidR="00AD1EB8">
        <w:rPr>
          <w:rFonts w:ascii="Gill Sans MT" w:hAnsi="Gill Sans MT"/>
          <w:b/>
          <w:color w:val="5B9BD5" w:themeColor="accent5"/>
        </w:rPr>
        <w:t>C</w:t>
      </w:r>
      <w:r w:rsidRPr="000C595E">
        <w:rPr>
          <w:rFonts w:ascii="Gill Sans MT" w:hAnsi="Gill Sans MT"/>
          <w:b/>
          <w:color w:val="5B9BD5" w:themeColor="accent5"/>
        </w:rPr>
        <w:t xml:space="preserve"> </w:t>
      </w:r>
    </w:p>
    <w:p w:rsidR="00300B3D" w:rsidRPr="00300B3D" w:rsidRDefault="00300B3D" w:rsidP="00300B3D">
      <w:pPr>
        <w:spacing w:after="120"/>
        <w:jc w:val="both"/>
        <w:rPr>
          <w:rFonts w:ascii="Gill Sans MT" w:hAnsi="Gill Sans MT"/>
          <w:b/>
          <w:bCs/>
        </w:rPr>
      </w:pPr>
      <w:r>
        <w:rPr>
          <w:rFonts w:ascii="Gill Sans MT" w:hAnsi="Gill Sans MT"/>
          <w:b/>
          <w:bCs/>
        </w:rPr>
        <w:t>A. Cadre général</w:t>
      </w:r>
    </w:p>
    <w:p w:rsidR="002D2D14" w:rsidRDefault="000C595E" w:rsidP="000D3C51">
      <w:pPr>
        <w:spacing w:after="0"/>
        <w:jc w:val="both"/>
        <w:rPr>
          <w:rFonts w:ascii="Gill Sans MT" w:hAnsi="Gill Sans MT"/>
          <w:bCs/>
        </w:rPr>
      </w:pPr>
      <w:r w:rsidRPr="002D2D14">
        <w:rPr>
          <w:rFonts w:ascii="Gill Sans MT" w:hAnsi="Gill Sans MT"/>
          <w:bCs/>
        </w:rPr>
        <w:t xml:space="preserve">Avec l'adoption de la loi </w:t>
      </w:r>
      <w:proofErr w:type="spellStart"/>
      <w:r w:rsidRPr="002D2D14">
        <w:rPr>
          <w:rFonts w:ascii="Gill Sans MT" w:hAnsi="Gill Sans MT"/>
          <w:bCs/>
        </w:rPr>
        <w:t>NOTRe</w:t>
      </w:r>
      <w:proofErr w:type="spellEnd"/>
      <w:r w:rsidRPr="002D2D14">
        <w:rPr>
          <w:rFonts w:ascii="Gill Sans MT" w:hAnsi="Gill Sans MT"/>
          <w:bCs/>
        </w:rPr>
        <w:t xml:space="preserve">, le législateur a prévu une prise de compétence en deux temps. Dans un premier temps, les nouvelles compétences « eau » et « assainissement » deviendront des compétences optionnelles des communautés de communes de droit commun et d'agglomération au 1er janvier 2018. </w:t>
      </w:r>
    </w:p>
    <w:p w:rsidR="00AD1EB8" w:rsidRDefault="00AD1EB8" w:rsidP="000D3C51">
      <w:pPr>
        <w:spacing w:after="0"/>
        <w:jc w:val="both"/>
        <w:rPr>
          <w:rFonts w:ascii="Gill Sans MT" w:hAnsi="Gill Sans MT"/>
          <w:bCs/>
        </w:rPr>
      </w:pPr>
    </w:p>
    <w:p w:rsidR="000C595E" w:rsidRPr="002D2D14" w:rsidRDefault="000C595E" w:rsidP="000C595E">
      <w:pPr>
        <w:jc w:val="both"/>
        <w:rPr>
          <w:rFonts w:ascii="Gill Sans MT" w:hAnsi="Gill Sans MT"/>
          <w:bCs/>
        </w:rPr>
      </w:pPr>
      <w:r w:rsidRPr="002D2D14">
        <w:rPr>
          <w:rFonts w:ascii="Gill Sans MT" w:hAnsi="Gill Sans MT"/>
          <w:bCs/>
        </w:rPr>
        <w:t>Dans un second temps, les nouvelles compétences « eau » et « assainissement » deviendront, au 1</w:t>
      </w:r>
      <w:r w:rsidRPr="002D2D14">
        <w:rPr>
          <w:rFonts w:ascii="Gill Sans MT" w:hAnsi="Gill Sans MT"/>
          <w:bCs/>
          <w:vertAlign w:val="superscript"/>
        </w:rPr>
        <w:t>er</w:t>
      </w:r>
      <w:r w:rsidRPr="002D2D14">
        <w:rPr>
          <w:rFonts w:ascii="Gill Sans MT" w:hAnsi="Gill Sans MT"/>
          <w:bCs/>
        </w:rPr>
        <w:t> janvier 2020, des compétences obligatoires des communautés de communes et d'agglomération.</w:t>
      </w:r>
    </w:p>
    <w:p w:rsidR="00300B3D" w:rsidRPr="00300B3D" w:rsidRDefault="00300B3D" w:rsidP="000C595E">
      <w:pPr>
        <w:jc w:val="both"/>
        <w:rPr>
          <w:rFonts w:ascii="Gill Sans MT" w:hAnsi="Gill Sans MT"/>
          <w:b/>
        </w:rPr>
      </w:pPr>
      <w:r w:rsidRPr="00300B3D">
        <w:rPr>
          <w:rFonts w:ascii="Gill Sans MT" w:hAnsi="Gill Sans MT"/>
          <w:b/>
        </w:rPr>
        <w:t>B. Droit applicable pour les CA</w:t>
      </w:r>
    </w:p>
    <w:p w:rsidR="000C595E" w:rsidRDefault="000C595E" w:rsidP="000C595E">
      <w:pPr>
        <w:jc w:val="both"/>
        <w:rPr>
          <w:rFonts w:ascii="Gill Sans MT" w:hAnsi="Gill Sans MT"/>
        </w:rPr>
      </w:pPr>
      <w:r w:rsidRPr="00D145F6">
        <w:rPr>
          <w:rFonts w:ascii="Gill Sans MT" w:hAnsi="Gill Sans MT"/>
        </w:rPr>
        <w:t xml:space="preserve">Les compétences « eau » et « assainissement » </w:t>
      </w:r>
      <w:r>
        <w:rPr>
          <w:rFonts w:ascii="Gill Sans MT" w:hAnsi="Gill Sans MT"/>
        </w:rPr>
        <w:t>étaient déjà</w:t>
      </w:r>
      <w:r w:rsidRPr="00D145F6">
        <w:rPr>
          <w:rFonts w:ascii="Gill Sans MT" w:hAnsi="Gill Sans MT"/>
        </w:rPr>
        <w:t xml:space="preserve"> comptabilisées parmi les compétences optionnelles des communautés d’agglomérations avant la publication de la loi NOTRE : </w:t>
      </w:r>
      <w:r w:rsidRPr="000D3C51">
        <w:rPr>
          <w:rFonts w:ascii="Gill Sans MT" w:hAnsi="Gill Sans MT"/>
          <w:u w:val="single"/>
        </w:rPr>
        <w:t>ces compétences ont vocation à rester optionnelles jusqu’au 1</w:t>
      </w:r>
      <w:r w:rsidRPr="000D3C51">
        <w:rPr>
          <w:rFonts w:ascii="Gill Sans MT" w:hAnsi="Gill Sans MT"/>
          <w:u w:val="single"/>
          <w:vertAlign w:val="superscript"/>
        </w:rPr>
        <w:t>er</w:t>
      </w:r>
      <w:r w:rsidRPr="000D3C51">
        <w:rPr>
          <w:rFonts w:ascii="Gill Sans MT" w:hAnsi="Gill Sans MT"/>
          <w:u w:val="single"/>
        </w:rPr>
        <w:t xml:space="preserve"> janvier 2020</w:t>
      </w:r>
      <w:r w:rsidRPr="00D145F6">
        <w:rPr>
          <w:rFonts w:ascii="Gill Sans MT" w:hAnsi="Gill Sans MT"/>
        </w:rPr>
        <w:t xml:space="preserve">, date à laquelle elles </w:t>
      </w:r>
      <w:proofErr w:type="spellStart"/>
      <w:r w:rsidR="00B37659">
        <w:rPr>
          <w:rFonts w:ascii="Gill Sans MT" w:hAnsi="Gill Sans MT"/>
        </w:rPr>
        <w:t>devraitn</w:t>
      </w:r>
      <w:proofErr w:type="spellEnd"/>
      <w:r w:rsidR="00B37659">
        <w:rPr>
          <w:rFonts w:ascii="Gill Sans MT" w:hAnsi="Gill Sans MT"/>
        </w:rPr>
        <w:t xml:space="preserve"> être </w:t>
      </w:r>
      <w:r w:rsidRPr="00D145F6">
        <w:rPr>
          <w:rFonts w:ascii="Gill Sans MT" w:hAnsi="Gill Sans MT"/>
        </w:rPr>
        <w:t>exercées à titre obligatoire en vertu de l’article 66 de la loi NOTRE.</w:t>
      </w:r>
    </w:p>
    <w:p w:rsidR="00300B3D" w:rsidRPr="00300B3D" w:rsidRDefault="00300B3D" w:rsidP="000C595E">
      <w:pPr>
        <w:jc w:val="both"/>
        <w:rPr>
          <w:rFonts w:ascii="Gill Sans MT" w:hAnsi="Gill Sans MT"/>
          <w:b/>
        </w:rPr>
      </w:pPr>
      <w:r w:rsidRPr="00300B3D">
        <w:rPr>
          <w:rFonts w:ascii="Gill Sans MT" w:hAnsi="Gill Sans MT"/>
          <w:b/>
        </w:rPr>
        <w:t>C. Droit applicable pour les CC</w:t>
      </w:r>
    </w:p>
    <w:p w:rsidR="00033159" w:rsidRDefault="000C595E" w:rsidP="00785F2A">
      <w:pPr>
        <w:jc w:val="both"/>
        <w:rPr>
          <w:rFonts w:ascii="Gill Sans MT" w:hAnsi="Gill Sans MT"/>
          <w:bCs/>
        </w:rPr>
      </w:pPr>
      <w:r>
        <w:rPr>
          <w:rFonts w:ascii="Gill Sans MT" w:hAnsi="Gill Sans MT"/>
          <w:bCs/>
        </w:rPr>
        <w:t>D</w:t>
      </w:r>
      <w:r w:rsidRPr="004018A1">
        <w:rPr>
          <w:rFonts w:ascii="Gill Sans MT" w:hAnsi="Gill Sans MT"/>
          <w:bCs/>
        </w:rPr>
        <w:t>ans le cas d</w:t>
      </w:r>
      <w:r>
        <w:rPr>
          <w:rFonts w:ascii="Gill Sans MT" w:hAnsi="Gill Sans MT"/>
          <w:bCs/>
        </w:rPr>
        <w:t xml:space="preserve">es communautés de communes (CC), </w:t>
      </w:r>
      <w:r w:rsidRPr="004018A1">
        <w:rPr>
          <w:rFonts w:ascii="Gill Sans MT" w:hAnsi="Gill Sans MT"/>
          <w:bCs/>
        </w:rPr>
        <w:t xml:space="preserve">les règles sont plus complexes. </w:t>
      </w:r>
    </w:p>
    <w:p w:rsidR="000C595E" w:rsidRDefault="000C595E" w:rsidP="00785F2A">
      <w:pPr>
        <w:jc w:val="both"/>
        <w:rPr>
          <w:rFonts w:ascii="Gill Sans MT" w:hAnsi="Gill Sans MT"/>
          <w:bCs/>
        </w:rPr>
      </w:pPr>
      <w:r>
        <w:rPr>
          <w:rFonts w:ascii="Gill Sans MT" w:hAnsi="Gill Sans MT"/>
          <w:bCs/>
        </w:rPr>
        <w:t xml:space="preserve">Suite à </w:t>
      </w:r>
      <w:r w:rsidRPr="004018A1">
        <w:rPr>
          <w:rFonts w:ascii="Gill Sans MT" w:hAnsi="Gill Sans MT"/>
          <w:bCs/>
        </w:rPr>
        <w:t xml:space="preserve">la loi </w:t>
      </w:r>
      <w:proofErr w:type="spellStart"/>
      <w:r w:rsidRPr="004018A1">
        <w:rPr>
          <w:rFonts w:ascii="Gill Sans MT" w:hAnsi="Gill Sans MT"/>
          <w:bCs/>
        </w:rPr>
        <w:t>NOTRe</w:t>
      </w:r>
      <w:proofErr w:type="spellEnd"/>
      <w:r w:rsidRPr="004018A1">
        <w:rPr>
          <w:rFonts w:ascii="Gill Sans MT" w:hAnsi="Gill Sans MT"/>
          <w:bCs/>
        </w:rPr>
        <w:t xml:space="preserve">, </w:t>
      </w:r>
      <w:r w:rsidRPr="000D3C51">
        <w:rPr>
          <w:rFonts w:ascii="Gill Sans MT" w:hAnsi="Gill Sans MT"/>
          <w:bCs/>
          <w:u w:val="single"/>
        </w:rPr>
        <w:t>les compétences « eau » et « assainissement » sont devenues deux des neuf compétences optionnelles prévues par la loi</w:t>
      </w:r>
      <w:r w:rsidRPr="004018A1">
        <w:rPr>
          <w:rFonts w:ascii="Gill Sans MT" w:hAnsi="Gill Sans MT"/>
          <w:bCs/>
        </w:rPr>
        <w:t xml:space="preserve">, parmi lesquelles </w:t>
      </w:r>
      <w:r>
        <w:rPr>
          <w:rFonts w:ascii="Gill Sans MT" w:hAnsi="Gill Sans MT"/>
          <w:bCs/>
        </w:rPr>
        <w:t>les CC doivent en exercer trois</w:t>
      </w:r>
      <w:r w:rsidRPr="004018A1">
        <w:rPr>
          <w:rFonts w:ascii="Gill Sans MT" w:hAnsi="Gill Sans MT"/>
          <w:bCs/>
        </w:rPr>
        <w:t>.</w:t>
      </w:r>
      <w:r w:rsidRPr="000C595E">
        <w:rPr>
          <w:rFonts w:ascii="Gill Sans MT" w:hAnsi="Gill Sans MT"/>
          <w:bCs/>
        </w:rPr>
        <w:t xml:space="preserve"> </w:t>
      </w:r>
      <w:r>
        <w:rPr>
          <w:rFonts w:ascii="Gill Sans MT" w:hAnsi="Gill Sans MT"/>
          <w:bCs/>
        </w:rPr>
        <w:t>L</w:t>
      </w:r>
      <w:r w:rsidRPr="004018A1">
        <w:rPr>
          <w:rFonts w:ascii="Gill Sans MT" w:hAnsi="Gill Sans MT"/>
          <w:bCs/>
        </w:rPr>
        <w:t xml:space="preserve">es CC auront jusqu’au 31 décembre 2017 au plus tard pour mettre leurs statuts en conformité avec ces règles. </w:t>
      </w:r>
    </w:p>
    <w:p w:rsidR="00C61114" w:rsidRPr="00D145F6" w:rsidRDefault="000C595E" w:rsidP="00785F2A">
      <w:pPr>
        <w:jc w:val="both"/>
        <w:rPr>
          <w:rFonts w:ascii="Gill Sans MT" w:hAnsi="Gill Sans MT"/>
        </w:rPr>
      </w:pPr>
      <w:r w:rsidRPr="000D3C51">
        <w:rPr>
          <w:rFonts w:ascii="Gill Sans MT" w:hAnsi="Gill Sans MT"/>
          <w:u w:val="single"/>
        </w:rPr>
        <w:t>Les compétences « eau » et « assainissement » ont vocation à constituer une compétence globale et indivisible.</w:t>
      </w:r>
      <w:r>
        <w:rPr>
          <w:rFonts w:ascii="Gill Sans MT" w:hAnsi="Gill Sans MT"/>
        </w:rPr>
        <w:t xml:space="preserve"> </w:t>
      </w:r>
      <w:r w:rsidR="00C61114" w:rsidRPr="00D145F6">
        <w:rPr>
          <w:rFonts w:ascii="Gill Sans MT" w:hAnsi="Gill Sans MT"/>
        </w:rPr>
        <w:t xml:space="preserve">De fait, les communautés de communes qui exercent seulement une partie de la compétence « assainissement » (collectif ou non collectif) ne peuvent comptabiliser celle-ci parmi les compétences optionnelles. </w:t>
      </w:r>
    </w:p>
    <w:p w:rsidR="009E3BB1" w:rsidRDefault="00C61114" w:rsidP="00785F2A">
      <w:pPr>
        <w:jc w:val="both"/>
        <w:rPr>
          <w:rFonts w:ascii="Gill Sans MT" w:hAnsi="Gill Sans MT"/>
        </w:rPr>
      </w:pPr>
      <w:r w:rsidRPr="00D145F6">
        <w:rPr>
          <w:rFonts w:ascii="Gill Sans MT" w:hAnsi="Gill Sans MT"/>
        </w:rPr>
        <w:t xml:space="preserve">Toutefois, en vertu de l’article 68 de la loi NOTRE, les communautés de communes existantes au moment de la publication de la loi et n’exerçant qu’une partie de la compétence « assainissement » dispose d’un </w:t>
      </w:r>
      <w:r w:rsidRPr="000D3C51">
        <w:rPr>
          <w:rFonts w:ascii="Gill Sans MT" w:hAnsi="Gill Sans MT"/>
          <w:u w:val="single"/>
        </w:rPr>
        <w:t>délai exceptionnel allant jusqu’au 1</w:t>
      </w:r>
      <w:r w:rsidRPr="000D3C51">
        <w:rPr>
          <w:rFonts w:ascii="Gill Sans MT" w:hAnsi="Gill Sans MT"/>
          <w:u w:val="single"/>
          <w:vertAlign w:val="superscript"/>
        </w:rPr>
        <w:t>er</w:t>
      </w:r>
      <w:r w:rsidRPr="000D3C51">
        <w:rPr>
          <w:rFonts w:ascii="Gill Sans MT" w:hAnsi="Gill Sans MT"/>
          <w:u w:val="single"/>
        </w:rPr>
        <w:t xml:space="preserve"> janvier 2018 pour comptabiliser un exercice partiel de cette compétence </w:t>
      </w:r>
      <w:r w:rsidR="00FE1D9A" w:rsidRPr="000D3C51">
        <w:rPr>
          <w:rFonts w:ascii="Gill Sans MT" w:hAnsi="Gill Sans MT"/>
          <w:u w:val="single"/>
        </w:rPr>
        <w:t>parmi les compétences optionnelles</w:t>
      </w:r>
      <w:r w:rsidR="00FE1D9A" w:rsidRPr="00D145F6">
        <w:rPr>
          <w:rFonts w:ascii="Gill Sans MT" w:hAnsi="Gill Sans MT"/>
        </w:rPr>
        <w:t xml:space="preserve">. Passé cette date, elles devront soit se saisir de la compétence pleine et entière « assainissement », soit </w:t>
      </w:r>
      <w:r w:rsidR="00417643" w:rsidRPr="00D145F6">
        <w:rPr>
          <w:rFonts w:ascii="Gill Sans MT" w:hAnsi="Gill Sans MT"/>
        </w:rPr>
        <w:t>renoncer</w:t>
      </w:r>
      <w:r w:rsidR="009E3BB1">
        <w:rPr>
          <w:rFonts w:ascii="Gill Sans MT" w:hAnsi="Gill Sans MT"/>
        </w:rPr>
        <w:t>, si au moins trois compétences optionnelles sont déjà exercées,</w:t>
      </w:r>
      <w:r w:rsidR="00417643" w:rsidRPr="00D145F6">
        <w:rPr>
          <w:rFonts w:ascii="Gill Sans MT" w:hAnsi="Gill Sans MT"/>
        </w:rPr>
        <w:t xml:space="preserve"> à exercer cette compétence avant de s’en saisir pleinement </w:t>
      </w:r>
      <w:r w:rsidR="009E3BB1">
        <w:rPr>
          <w:rFonts w:ascii="Gill Sans MT" w:hAnsi="Gill Sans MT"/>
        </w:rPr>
        <w:t xml:space="preserve">à titre obligatoire </w:t>
      </w:r>
      <w:r w:rsidR="00417643" w:rsidRPr="00D145F6">
        <w:rPr>
          <w:rFonts w:ascii="Gill Sans MT" w:hAnsi="Gill Sans MT"/>
        </w:rPr>
        <w:t>en 2020</w:t>
      </w:r>
      <w:r w:rsidR="00FE1D9A" w:rsidRPr="00D145F6">
        <w:rPr>
          <w:rFonts w:ascii="Gill Sans MT" w:hAnsi="Gill Sans MT"/>
        </w:rPr>
        <w:t>.</w:t>
      </w:r>
      <w:r w:rsidR="00417643" w:rsidRPr="00D145F6">
        <w:rPr>
          <w:rFonts w:ascii="Gill Sans MT" w:hAnsi="Gill Sans MT"/>
        </w:rPr>
        <w:t xml:space="preserve"> </w:t>
      </w:r>
    </w:p>
    <w:p w:rsidR="004C4BB2" w:rsidRPr="00D145F6" w:rsidRDefault="00417643" w:rsidP="00785F2A">
      <w:pPr>
        <w:jc w:val="both"/>
        <w:rPr>
          <w:rFonts w:ascii="Gill Sans MT" w:hAnsi="Gill Sans MT"/>
        </w:rPr>
      </w:pPr>
      <w:r w:rsidRPr="00D145F6">
        <w:rPr>
          <w:rFonts w:ascii="Gill Sans MT" w:hAnsi="Gill Sans MT"/>
        </w:rPr>
        <w:t xml:space="preserve">Dans le cas où </w:t>
      </w:r>
      <w:r w:rsidR="00446930" w:rsidRPr="00D145F6">
        <w:rPr>
          <w:rFonts w:ascii="Gill Sans MT" w:hAnsi="Gill Sans MT"/>
        </w:rPr>
        <w:t xml:space="preserve">la communauté de communes </w:t>
      </w:r>
      <w:r w:rsidR="00064518" w:rsidRPr="00D145F6">
        <w:rPr>
          <w:rFonts w:ascii="Gill Sans MT" w:hAnsi="Gill Sans MT"/>
        </w:rPr>
        <w:t>n’exercerait</w:t>
      </w:r>
      <w:r w:rsidR="00446930" w:rsidRPr="00D145F6">
        <w:rPr>
          <w:rFonts w:ascii="Gill Sans MT" w:hAnsi="Gill Sans MT"/>
        </w:rPr>
        <w:t xml:space="preserve"> pas ce seuil minimum de trois compétences facultatives et qu’elle ne pourrait prétendre à un exercice plein et entier de la compétence « assainissement » au 1</w:t>
      </w:r>
      <w:r w:rsidR="00446930" w:rsidRPr="00D145F6">
        <w:rPr>
          <w:rFonts w:ascii="Gill Sans MT" w:hAnsi="Gill Sans MT"/>
          <w:vertAlign w:val="superscript"/>
        </w:rPr>
        <w:t>er</w:t>
      </w:r>
      <w:r w:rsidR="00446930" w:rsidRPr="00D145F6">
        <w:rPr>
          <w:rFonts w:ascii="Gill Sans MT" w:hAnsi="Gill Sans MT"/>
        </w:rPr>
        <w:t xml:space="preserve"> janvier 2018, le Préfet procède dans les 6 mois à la modification des statuts de la communauté de communes afin qu’elle exerce </w:t>
      </w:r>
      <w:r w:rsidR="00064518" w:rsidRPr="00D145F6">
        <w:rPr>
          <w:rFonts w:ascii="Gill Sans MT" w:hAnsi="Gill Sans MT"/>
        </w:rPr>
        <w:t>les neuf compétences optionnelles</w:t>
      </w:r>
      <w:r w:rsidR="00446930" w:rsidRPr="00D145F6">
        <w:rPr>
          <w:rFonts w:ascii="Gill Sans MT" w:hAnsi="Gill Sans MT"/>
        </w:rPr>
        <w:t>.</w:t>
      </w:r>
    </w:p>
    <w:p w:rsidR="00417643" w:rsidRPr="00D145F6" w:rsidRDefault="00FE1D9A" w:rsidP="00446930">
      <w:pPr>
        <w:jc w:val="both"/>
        <w:rPr>
          <w:rFonts w:ascii="Gill Sans MT" w:hAnsi="Gill Sans MT"/>
        </w:rPr>
      </w:pPr>
      <w:r w:rsidRPr="00D145F6">
        <w:rPr>
          <w:rFonts w:ascii="Gill Sans MT" w:hAnsi="Gill Sans MT"/>
        </w:rPr>
        <w:t>A noter que ce délai exceptionnel n’est pas applicable aux communautés de communes issues d’une création ou d’une fusion après</w:t>
      </w:r>
      <w:r w:rsidR="00417643" w:rsidRPr="00D145F6">
        <w:rPr>
          <w:rFonts w:ascii="Gill Sans MT" w:hAnsi="Gill Sans MT"/>
        </w:rPr>
        <w:t xml:space="preserve"> la</w:t>
      </w:r>
      <w:r w:rsidRPr="00D145F6">
        <w:rPr>
          <w:rFonts w:ascii="Gill Sans MT" w:hAnsi="Gill Sans MT"/>
        </w:rPr>
        <w:t xml:space="preserve"> publication de la loi.</w:t>
      </w:r>
    </w:p>
    <w:p w:rsidR="007E448D" w:rsidRPr="00D145F6" w:rsidRDefault="00615AEB" w:rsidP="007E448D">
      <w:pPr>
        <w:pBdr>
          <w:bottom w:val="single" w:sz="12" w:space="1" w:color="5B9BD5" w:themeColor="accent5"/>
        </w:pBdr>
        <w:jc w:val="both"/>
        <w:rPr>
          <w:rFonts w:ascii="Gill Sans MT" w:hAnsi="Gill Sans MT"/>
          <w:b/>
          <w:color w:val="5B9BD5" w:themeColor="accent5"/>
        </w:rPr>
      </w:pPr>
      <w:r>
        <w:rPr>
          <w:rFonts w:ascii="Gill Sans MT" w:hAnsi="Gill Sans MT"/>
          <w:b/>
          <w:color w:val="5B9BD5" w:themeColor="accent5"/>
        </w:rPr>
        <w:t>I</w:t>
      </w:r>
      <w:r w:rsidR="007E448D" w:rsidRPr="00D145F6">
        <w:rPr>
          <w:rFonts w:ascii="Gill Sans MT" w:hAnsi="Gill Sans MT"/>
          <w:b/>
          <w:color w:val="5B9BD5" w:themeColor="accent5"/>
        </w:rPr>
        <w:t>I. Les conséquences pour les structures syndicales</w:t>
      </w:r>
    </w:p>
    <w:p w:rsidR="007E448D" w:rsidRPr="000D3C51" w:rsidRDefault="007E448D" w:rsidP="00B80C66">
      <w:pPr>
        <w:jc w:val="both"/>
        <w:rPr>
          <w:rFonts w:ascii="Gill Sans MT" w:hAnsi="Gill Sans MT"/>
        </w:rPr>
      </w:pPr>
      <w:r w:rsidRPr="000D3C51">
        <w:rPr>
          <w:rFonts w:ascii="Gill Sans MT" w:hAnsi="Gill Sans MT"/>
        </w:rPr>
        <w:t>Dans les territoires où la gestion des compétences « eau » et « assainissement » a été confiée à des syndicats mixtes, deux cas de figure peuvent se présenter :</w:t>
      </w:r>
    </w:p>
    <w:p w:rsidR="007E448D" w:rsidRPr="000D3C51" w:rsidRDefault="007E448D" w:rsidP="00300B3D">
      <w:pPr>
        <w:ind w:left="340" w:right="340"/>
        <w:jc w:val="both"/>
        <w:rPr>
          <w:rFonts w:ascii="Gill Sans MT" w:hAnsi="Gill Sans MT"/>
          <w:u w:val="single"/>
        </w:rPr>
      </w:pPr>
      <w:r w:rsidRPr="000D3C51">
        <w:rPr>
          <w:rFonts w:ascii="Gill Sans MT" w:hAnsi="Gill Sans MT"/>
        </w:rPr>
        <w:lastRenderedPageBreak/>
        <w:t xml:space="preserve">1. Si la structure syndicale </w:t>
      </w:r>
      <w:r w:rsidR="00EB79F8" w:rsidRPr="000D3C51">
        <w:rPr>
          <w:rFonts w:ascii="Gill Sans MT" w:hAnsi="Gill Sans MT"/>
        </w:rPr>
        <w:t>intègre à son périmètre des communes appartenant à un ou deux EPCI à fiscalité propre –</w:t>
      </w:r>
      <w:r w:rsidR="005A1D86" w:rsidRPr="000D3C51">
        <w:rPr>
          <w:rFonts w:ascii="Gill Sans MT" w:hAnsi="Gill Sans MT"/>
        </w:rPr>
        <w:t xml:space="preserve"> et que</w:t>
      </w:r>
      <w:r w:rsidR="00EB79F8" w:rsidRPr="000D3C51">
        <w:rPr>
          <w:rFonts w:ascii="Gill Sans MT" w:hAnsi="Gill Sans MT"/>
        </w:rPr>
        <w:t xml:space="preserve"> l’un ou les deux </w:t>
      </w:r>
      <w:r w:rsidR="005A1D86" w:rsidRPr="000D3C51">
        <w:rPr>
          <w:rFonts w:ascii="Gill Sans MT" w:hAnsi="Gill Sans MT"/>
        </w:rPr>
        <w:t xml:space="preserve">EPCI en question </w:t>
      </w:r>
      <w:r w:rsidR="00EB79F8" w:rsidRPr="000D3C51">
        <w:rPr>
          <w:rFonts w:ascii="Gill Sans MT" w:hAnsi="Gill Sans MT"/>
        </w:rPr>
        <w:t>récupèrent la compétence « eau » ou « assainissement »</w:t>
      </w:r>
      <w:r w:rsidR="005A1D86" w:rsidRPr="000D3C51">
        <w:rPr>
          <w:rFonts w:ascii="Gill Sans MT" w:hAnsi="Gill Sans MT"/>
        </w:rPr>
        <w:t xml:space="preserve"> - </w:t>
      </w:r>
      <w:r w:rsidR="00EB79F8" w:rsidRPr="000D3C51">
        <w:rPr>
          <w:rFonts w:ascii="Gill Sans MT" w:hAnsi="Gill Sans MT"/>
          <w:u w:val="single"/>
        </w:rPr>
        <w:t xml:space="preserve">le transfert de l’une ou l’autre de ces compétences </w:t>
      </w:r>
      <w:r w:rsidR="005A1D86" w:rsidRPr="000D3C51">
        <w:rPr>
          <w:rFonts w:ascii="Gill Sans MT" w:hAnsi="Gill Sans MT"/>
          <w:u w:val="single"/>
        </w:rPr>
        <w:t>à l’EPCI</w:t>
      </w:r>
      <w:r w:rsidR="00EB79F8" w:rsidRPr="000D3C51">
        <w:rPr>
          <w:rFonts w:ascii="Gill Sans MT" w:hAnsi="Gill Sans MT"/>
          <w:u w:val="single"/>
        </w:rPr>
        <w:t xml:space="preserve"> à fiscalité propre entraînera le retrait automatique du syndicat des communes membres de l’EPCI</w:t>
      </w:r>
      <w:r w:rsidR="005A1D86" w:rsidRPr="000D3C51">
        <w:rPr>
          <w:rFonts w:ascii="Gill Sans MT" w:hAnsi="Gill Sans MT"/>
          <w:u w:val="single"/>
        </w:rPr>
        <w:t xml:space="preserve"> pour la ou les compétences susmentionnées.</w:t>
      </w:r>
    </w:p>
    <w:p w:rsidR="00615AEB" w:rsidRPr="000D3C51" w:rsidRDefault="002C3EEF" w:rsidP="00300B3D">
      <w:pPr>
        <w:pStyle w:val="Paragraphedeliste"/>
        <w:spacing w:after="0" w:line="240" w:lineRule="auto"/>
        <w:ind w:left="340" w:right="340"/>
        <w:contextualSpacing w:val="0"/>
        <w:jc w:val="both"/>
        <w:rPr>
          <w:rFonts w:ascii="Gill Sans MT" w:hAnsi="Gill Sans MT"/>
        </w:rPr>
      </w:pPr>
      <w:r>
        <w:rPr>
          <w:rFonts w:ascii="Gill Sans MT" w:hAnsi="Gill Sans MT"/>
        </w:rPr>
        <w:t>2</w:t>
      </w:r>
      <w:r w:rsidR="009E3BB1" w:rsidRPr="000D3C51">
        <w:rPr>
          <w:rFonts w:ascii="Gill Sans MT" w:hAnsi="Gill Sans MT"/>
        </w:rPr>
        <w:t>. Si la</w:t>
      </w:r>
      <w:r w:rsidR="00615AEB" w:rsidRPr="000D3C51">
        <w:rPr>
          <w:rFonts w:ascii="Gill Sans MT" w:hAnsi="Gill Sans MT" w:cs="Arial"/>
          <w:bCs/>
        </w:rPr>
        <w:t xml:space="preserve"> structure syndicale exerçant une compétence en matière d'eau ou d'assainissement regroupe des communes appartenant à au moins trois EPCI à fiscalité propre différents, à la date du transfert de cette compétence à un EPCI, </w:t>
      </w:r>
      <w:r w:rsidR="00615AEB" w:rsidRPr="00585879">
        <w:rPr>
          <w:rFonts w:ascii="Gill Sans MT" w:hAnsi="Gill Sans MT" w:cs="Arial"/>
          <w:bCs/>
          <w:u w:val="single"/>
        </w:rPr>
        <w:t>ce dernier est substitué, au sein du syndicat, aux communes qui le composent</w:t>
      </w:r>
      <w:r w:rsidR="00615AEB" w:rsidRPr="000D3C51">
        <w:rPr>
          <w:rFonts w:ascii="Gill Sans MT" w:hAnsi="Gill Sans MT" w:cs="Arial"/>
          <w:bCs/>
        </w:rPr>
        <w:t xml:space="preserve">. Toutefois, après avis de la commission départementale de la coopération intercommunale, le Préfet peut autoriser l’EPCI à se retirer du syndicat au 1er janvier de l'année qui suit la date du transfert de la compétence. </w:t>
      </w:r>
    </w:p>
    <w:p w:rsidR="000D3C51" w:rsidRDefault="000D3C51" w:rsidP="00615AEB">
      <w:pPr>
        <w:pStyle w:val="Paragraphedeliste"/>
        <w:spacing w:after="0" w:line="240" w:lineRule="auto"/>
        <w:ind w:left="0"/>
        <w:contextualSpacing w:val="0"/>
        <w:jc w:val="both"/>
        <w:rPr>
          <w:rFonts w:ascii="Gill Sans MT" w:hAnsi="Gill Sans MT"/>
        </w:rPr>
      </w:pPr>
    </w:p>
    <w:p w:rsidR="007F0EF5" w:rsidRPr="00D145F6" w:rsidRDefault="007F0EF5" w:rsidP="007F0EF5">
      <w:pPr>
        <w:pBdr>
          <w:bottom w:val="single" w:sz="12" w:space="1" w:color="5B9BD5" w:themeColor="accent5"/>
        </w:pBdr>
        <w:jc w:val="both"/>
        <w:rPr>
          <w:rFonts w:ascii="Gill Sans MT" w:hAnsi="Gill Sans MT"/>
          <w:b/>
          <w:color w:val="5B9BD5" w:themeColor="accent5"/>
        </w:rPr>
      </w:pPr>
      <w:r>
        <w:rPr>
          <w:rFonts w:ascii="Gill Sans MT" w:hAnsi="Gill Sans MT"/>
          <w:b/>
          <w:color w:val="5B9BD5" w:themeColor="accent5"/>
        </w:rPr>
        <w:t>II</w:t>
      </w:r>
      <w:r w:rsidRPr="00D145F6">
        <w:rPr>
          <w:rFonts w:ascii="Gill Sans MT" w:hAnsi="Gill Sans MT"/>
          <w:b/>
          <w:color w:val="5B9BD5" w:themeColor="accent5"/>
        </w:rPr>
        <w:t>I. Les conséquences pour les modes de gestion</w:t>
      </w:r>
    </w:p>
    <w:p w:rsidR="007F0EF5" w:rsidRPr="000D3C51" w:rsidRDefault="007F0EF5" w:rsidP="007F0EF5">
      <w:pPr>
        <w:jc w:val="both"/>
        <w:rPr>
          <w:rFonts w:ascii="Gill Sans MT" w:hAnsi="Gill Sans MT"/>
        </w:rPr>
      </w:pPr>
      <w:r w:rsidRPr="000D3C51">
        <w:rPr>
          <w:rFonts w:ascii="Gill Sans MT" w:hAnsi="Gill Sans MT"/>
        </w:rPr>
        <w:t xml:space="preserve">Les transferts des compétences posent la question de la coexistence de différents modes de gestion. </w:t>
      </w:r>
    </w:p>
    <w:p w:rsidR="00300B3D" w:rsidRPr="00300B3D" w:rsidRDefault="00300B3D" w:rsidP="007F0EF5">
      <w:pPr>
        <w:jc w:val="both"/>
        <w:rPr>
          <w:rFonts w:ascii="Gill Sans MT" w:hAnsi="Gill Sans MT"/>
          <w:b/>
        </w:rPr>
      </w:pPr>
      <w:r w:rsidRPr="00300B3D">
        <w:rPr>
          <w:rFonts w:ascii="Gill Sans MT" w:hAnsi="Gill Sans MT"/>
          <w:b/>
        </w:rPr>
        <w:t>A. Les implications pour les délégations de service public existantes</w:t>
      </w:r>
    </w:p>
    <w:p w:rsidR="007F0EF5" w:rsidRDefault="007F0EF5" w:rsidP="007F0EF5">
      <w:pPr>
        <w:jc w:val="both"/>
        <w:rPr>
          <w:rFonts w:ascii="Gill Sans MT" w:hAnsi="Gill Sans MT"/>
        </w:rPr>
      </w:pPr>
      <w:r w:rsidRPr="000D3C51">
        <w:rPr>
          <w:rFonts w:ascii="Gill Sans MT" w:hAnsi="Gill Sans MT"/>
        </w:rPr>
        <w:t>En ce qui concerne les délégations de service public, en vertu du principe de co</w:t>
      </w:r>
      <w:r w:rsidR="000D3C51">
        <w:rPr>
          <w:rFonts w:ascii="Gill Sans MT" w:hAnsi="Gill Sans MT"/>
        </w:rPr>
        <w:t xml:space="preserve">ntinuité des contrats en cours, </w:t>
      </w:r>
      <w:r w:rsidRPr="000D3C51">
        <w:rPr>
          <w:rFonts w:ascii="Gill Sans MT" w:hAnsi="Gill Sans MT"/>
        </w:rPr>
        <w:t>fixés aux articl</w:t>
      </w:r>
      <w:r w:rsidR="000D3C51">
        <w:rPr>
          <w:rFonts w:ascii="Gill Sans MT" w:hAnsi="Gill Sans MT"/>
        </w:rPr>
        <w:t>es L.1321-2 et L.5211-5 du Code général des collectivités territoriales</w:t>
      </w:r>
      <w:r w:rsidRPr="000D3C51">
        <w:rPr>
          <w:rFonts w:ascii="Gill Sans MT" w:hAnsi="Gill Sans MT"/>
        </w:rPr>
        <w:t xml:space="preserve">, l’EPCI devra se substituer à la commune comme co-contractant jusqu’au terme du contrat. </w:t>
      </w:r>
      <w:r w:rsidRPr="00585879">
        <w:rPr>
          <w:rFonts w:ascii="Gill Sans MT" w:hAnsi="Gill Sans MT"/>
          <w:u w:val="single"/>
        </w:rPr>
        <w:t xml:space="preserve">Un transfert de compétence n’entraine pas une résiliation du contrat de délégation de service public en cours. </w:t>
      </w:r>
      <w:r w:rsidRPr="000D3C51">
        <w:rPr>
          <w:rFonts w:ascii="Gill Sans MT" w:hAnsi="Gill Sans MT"/>
        </w:rPr>
        <w:t xml:space="preserve">Il </w:t>
      </w:r>
      <w:r w:rsidR="00033159">
        <w:rPr>
          <w:rFonts w:ascii="Gill Sans MT" w:hAnsi="Gill Sans MT"/>
        </w:rPr>
        <w:t xml:space="preserve">est </w:t>
      </w:r>
      <w:r w:rsidRPr="000D3C51">
        <w:rPr>
          <w:rFonts w:ascii="Gill Sans MT" w:hAnsi="Gill Sans MT"/>
        </w:rPr>
        <w:t xml:space="preserve">donc possible de faire coexister des modes de gestion différenciés sur un même territoire communautaire. </w:t>
      </w:r>
    </w:p>
    <w:p w:rsidR="00300B3D" w:rsidRPr="00300B3D" w:rsidRDefault="00300B3D" w:rsidP="007F0EF5">
      <w:pPr>
        <w:jc w:val="both"/>
        <w:rPr>
          <w:rFonts w:ascii="Gill Sans MT" w:hAnsi="Gill Sans MT"/>
          <w:b/>
        </w:rPr>
      </w:pPr>
      <w:r w:rsidRPr="00300B3D">
        <w:rPr>
          <w:rFonts w:ascii="Gill Sans MT" w:hAnsi="Gill Sans MT"/>
          <w:b/>
        </w:rPr>
        <w:t>B. Les implications pour les régies publiques</w:t>
      </w:r>
    </w:p>
    <w:p w:rsidR="007F0EF5" w:rsidRPr="000D3C51" w:rsidRDefault="007F0EF5" w:rsidP="000D3C51">
      <w:pPr>
        <w:jc w:val="both"/>
        <w:rPr>
          <w:rFonts w:ascii="Gill Sans MT" w:hAnsi="Gill Sans MT"/>
        </w:rPr>
      </w:pPr>
      <w:r w:rsidRPr="00585879">
        <w:rPr>
          <w:rFonts w:ascii="Gill Sans MT" w:hAnsi="Gill Sans MT"/>
          <w:u w:val="single"/>
        </w:rPr>
        <w:t>En ce qui concerne les régies, il apparait en revanche nécessaire de les fusionner au sein d’une unique régie.</w:t>
      </w:r>
      <w:r w:rsidRPr="000D3C51">
        <w:rPr>
          <w:rFonts w:ascii="Gill Sans MT" w:hAnsi="Gill Sans MT"/>
        </w:rPr>
        <w:t xml:space="preserve"> En effet, conserver deux structures similaires ayant le même objet au sein de la même collectivité ne se justifie pas. </w:t>
      </w:r>
    </w:p>
    <w:p w:rsidR="00186B47" w:rsidRPr="00D145F6" w:rsidRDefault="007F0EF5" w:rsidP="00186B47">
      <w:pPr>
        <w:pBdr>
          <w:bottom w:val="single" w:sz="12" w:space="1" w:color="5B9BD5" w:themeColor="accent5"/>
        </w:pBdr>
        <w:jc w:val="both"/>
        <w:rPr>
          <w:rFonts w:ascii="Gill Sans MT" w:hAnsi="Gill Sans MT"/>
          <w:b/>
          <w:color w:val="5B9BD5" w:themeColor="accent5"/>
        </w:rPr>
      </w:pPr>
      <w:r>
        <w:rPr>
          <w:rFonts w:ascii="Gill Sans MT" w:hAnsi="Gill Sans MT"/>
          <w:b/>
          <w:color w:val="5B9BD5" w:themeColor="accent5"/>
        </w:rPr>
        <w:t>IV</w:t>
      </w:r>
      <w:r w:rsidR="00186B47" w:rsidRPr="00D145F6">
        <w:rPr>
          <w:rFonts w:ascii="Gill Sans MT" w:hAnsi="Gill Sans MT"/>
          <w:b/>
          <w:color w:val="5B9BD5" w:themeColor="accent5"/>
        </w:rPr>
        <w:t>.</w:t>
      </w:r>
      <w:r w:rsidR="007612D0" w:rsidRPr="00D145F6">
        <w:rPr>
          <w:rFonts w:ascii="Gill Sans MT" w:hAnsi="Gill Sans MT"/>
          <w:b/>
          <w:color w:val="5B9BD5" w:themeColor="accent5"/>
        </w:rPr>
        <w:t xml:space="preserve"> Les </w:t>
      </w:r>
      <w:r w:rsidR="00186B47" w:rsidRPr="00D145F6">
        <w:rPr>
          <w:rFonts w:ascii="Gill Sans MT" w:hAnsi="Gill Sans MT"/>
          <w:b/>
          <w:color w:val="5B9BD5" w:themeColor="accent5"/>
        </w:rPr>
        <w:t>mécanismes de compensation</w:t>
      </w:r>
    </w:p>
    <w:p w:rsidR="00186B47" w:rsidRPr="00D145F6" w:rsidRDefault="00186B47" w:rsidP="00B80C66">
      <w:pPr>
        <w:jc w:val="both"/>
        <w:rPr>
          <w:rFonts w:ascii="Gill Sans MT" w:hAnsi="Gill Sans MT"/>
        </w:rPr>
      </w:pPr>
      <w:r w:rsidRPr="00D145F6">
        <w:rPr>
          <w:rFonts w:ascii="Gill Sans MT" w:hAnsi="Gill Sans MT"/>
        </w:rPr>
        <w:t xml:space="preserve">Pour </w:t>
      </w:r>
      <w:r w:rsidR="001970B9" w:rsidRPr="00D145F6">
        <w:rPr>
          <w:rFonts w:ascii="Gill Sans MT" w:hAnsi="Gill Sans MT"/>
        </w:rPr>
        <w:t xml:space="preserve">rappel, </w:t>
      </w:r>
      <w:r w:rsidR="00EA51CA" w:rsidRPr="00D145F6">
        <w:rPr>
          <w:rFonts w:ascii="Gill Sans MT" w:hAnsi="Gill Sans MT"/>
        </w:rPr>
        <w:t xml:space="preserve">pour </w:t>
      </w:r>
      <w:r w:rsidRPr="00D145F6">
        <w:rPr>
          <w:rFonts w:ascii="Gill Sans MT" w:hAnsi="Gill Sans MT"/>
        </w:rPr>
        <w:t xml:space="preserve">les EPCI à fiscalité professionnelle unique (FPU), le calcul de l’attribution de compensation </w:t>
      </w:r>
      <w:r w:rsidR="00163F52" w:rsidRPr="00D145F6">
        <w:rPr>
          <w:rFonts w:ascii="Gill Sans MT" w:hAnsi="Gill Sans MT"/>
        </w:rPr>
        <w:t xml:space="preserve">vise à obtenir </w:t>
      </w:r>
      <w:r w:rsidRPr="00585879">
        <w:rPr>
          <w:rFonts w:ascii="Gill Sans MT" w:hAnsi="Gill Sans MT"/>
          <w:u w:val="single"/>
        </w:rPr>
        <w:t>une neutralité financière entre le transfert de fiscalité des communes vers l’EPCI et le coût des charges reprises</w:t>
      </w:r>
      <w:r w:rsidRPr="00D145F6">
        <w:rPr>
          <w:rFonts w:ascii="Gill Sans MT" w:hAnsi="Gill Sans MT"/>
        </w:rPr>
        <w:t>. La méthodologie d’évaluation du coût des charges transférées est décrite </w:t>
      </w:r>
      <w:r w:rsidR="00EA51CA" w:rsidRPr="00D145F6">
        <w:rPr>
          <w:rFonts w:ascii="Gill Sans MT" w:hAnsi="Gill Sans MT"/>
        </w:rPr>
        <w:t xml:space="preserve">strictement au </w:t>
      </w:r>
      <w:r w:rsidRPr="00D145F6">
        <w:rPr>
          <w:rFonts w:ascii="Gill Sans MT" w:hAnsi="Gill Sans MT"/>
        </w:rPr>
        <w:t>point IV de l</w:t>
      </w:r>
      <w:r w:rsidR="00EA51CA" w:rsidRPr="00D145F6">
        <w:rPr>
          <w:rFonts w:ascii="Gill Sans MT" w:hAnsi="Gill Sans MT"/>
        </w:rPr>
        <w:t>’article 1609 nonies C du Code général des impôts</w:t>
      </w:r>
      <w:r w:rsidR="00615AEB">
        <w:rPr>
          <w:rFonts w:ascii="Gill Sans MT" w:hAnsi="Gill Sans MT"/>
        </w:rPr>
        <w:t xml:space="preserve"> (CGI)</w:t>
      </w:r>
      <w:r w:rsidRPr="00D145F6">
        <w:rPr>
          <w:rFonts w:ascii="Gill Sans MT" w:hAnsi="Gill Sans MT"/>
        </w:rPr>
        <w:t>. </w:t>
      </w:r>
    </w:p>
    <w:p w:rsidR="00EA51CA" w:rsidRPr="00D145F6" w:rsidRDefault="00EA51CA" w:rsidP="0074705A">
      <w:pPr>
        <w:jc w:val="both"/>
        <w:rPr>
          <w:rFonts w:ascii="Gill Sans MT" w:hAnsi="Gill Sans MT"/>
        </w:rPr>
      </w:pPr>
      <w:r w:rsidRPr="00D145F6">
        <w:rPr>
          <w:rFonts w:ascii="Gill Sans MT" w:hAnsi="Gill Sans MT"/>
        </w:rPr>
        <w:t>Dans les faits, p</w:t>
      </w:r>
      <w:r w:rsidR="0074705A" w:rsidRPr="00D145F6">
        <w:rPr>
          <w:rFonts w:ascii="Gill Sans MT" w:hAnsi="Gill Sans MT"/>
        </w:rPr>
        <w:t>our les EPCI à fiscalité professionnelle unique, le transfert</w:t>
      </w:r>
      <w:r w:rsidRPr="00D145F6">
        <w:rPr>
          <w:rFonts w:ascii="Gill Sans MT" w:hAnsi="Gill Sans MT"/>
        </w:rPr>
        <w:t xml:space="preserve"> </w:t>
      </w:r>
      <w:r w:rsidR="00C4015E">
        <w:rPr>
          <w:rFonts w:ascii="Gill Sans MT" w:hAnsi="Gill Sans MT"/>
        </w:rPr>
        <w:t xml:space="preserve">d’une compétence comme « eau » et/ou « assainissement » </w:t>
      </w:r>
      <w:r w:rsidRPr="00D145F6">
        <w:rPr>
          <w:rFonts w:ascii="Gill Sans MT" w:hAnsi="Gill Sans MT"/>
        </w:rPr>
        <w:t>des communes</w:t>
      </w:r>
      <w:r w:rsidR="00163F52" w:rsidRPr="00D145F6">
        <w:rPr>
          <w:rFonts w:ascii="Gill Sans MT" w:hAnsi="Gill Sans MT"/>
        </w:rPr>
        <w:t xml:space="preserve"> </w:t>
      </w:r>
      <w:r w:rsidRPr="00D145F6">
        <w:rPr>
          <w:rFonts w:ascii="Gill Sans MT" w:hAnsi="Gill Sans MT"/>
        </w:rPr>
        <w:t>vers</w:t>
      </w:r>
      <w:r w:rsidR="00163F52" w:rsidRPr="00D145F6">
        <w:rPr>
          <w:rFonts w:ascii="Gill Sans MT" w:hAnsi="Gill Sans MT"/>
        </w:rPr>
        <w:t xml:space="preserve"> leur EPCI, </w:t>
      </w:r>
      <w:r w:rsidR="0074705A" w:rsidRPr="00D145F6">
        <w:rPr>
          <w:rFonts w:ascii="Gill Sans MT" w:hAnsi="Gill Sans MT"/>
        </w:rPr>
        <w:t xml:space="preserve">s’accompagne </w:t>
      </w:r>
      <w:r w:rsidR="00C4015E">
        <w:rPr>
          <w:rFonts w:ascii="Gill Sans MT" w:hAnsi="Gill Sans MT"/>
        </w:rPr>
        <w:t xml:space="preserve">de </w:t>
      </w:r>
      <w:r w:rsidR="00163F52" w:rsidRPr="00D145F6">
        <w:rPr>
          <w:rFonts w:ascii="Gill Sans MT" w:hAnsi="Gill Sans MT"/>
        </w:rPr>
        <w:t xml:space="preserve">compensation </w:t>
      </w:r>
      <w:r w:rsidR="00C4015E">
        <w:rPr>
          <w:rFonts w:ascii="Gill Sans MT" w:hAnsi="Gill Sans MT"/>
        </w:rPr>
        <w:t xml:space="preserve">permettant de </w:t>
      </w:r>
      <w:r w:rsidR="00163F52" w:rsidRPr="00D145F6">
        <w:rPr>
          <w:rFonts w:ascii="Gill Sans MT" w:hAnsi="Gill Sans MT"/>
        </w:rPr>
        <w:t xml:space="preserve">garantir </w:t>
      </w:r>
      <w:r w:rsidR="0074705A" w:rsidRPr="00D145F6">
        <w:rPr>
          <w:rFonts w:ascii="Gill Sans MT" w:hAnsi="Gill Sans MT"/>
        </w:rPr>
        <w:t>le financement d</w:t>
      </w:r>
      <w:r w:rsidR="00C4015E">
        <w:rPr>
          <w:rFonts w:ascii="Gill Sans MT" w:hAnsi="Gill Sans MT"/>
        </w:rPr>
        <w:t>es charges transférées.</w:t>
      </w:r>
      <w:r w:rsidR="00163F52" w:rsidRPr="00D145F6">
        <w:rPr>
          <w:rFonts w:ascii="Gill Sans MT" w:hAnsi="Gill Sans MT"/>
        </w:rPr>
        <w:t xml:space="preserve"> </w:t>
      </w:r>
      <w:r w:rsidR="00C4015E">
        <w:rPr>
          <w:rFonts w:ascii="Gill Sans MT" w:hAnsi="Gill Sans MT"/>
        </w:rPr>
        <w:t>En effet, la loi dispose que</w:t>
      </w:r>
      <w:r w:rsidRPr="00D145F6">
        <w:rPr>
          <w:rFonts w:ascii="Gill Sans MT" w:hAnsi="Gill Sans MT"/>
        </w:rPr>
        <w:t xml:space="preserve"> </w:t>
      </w:r>
      <w:r w:rsidR="0074705A" w:rsidRPr="00D145F6">
        <w:rPr>
          <w:rFonts w:ascii="Gill Sans MT" w:hAnsi="Gill Sans MT"/>
        </w:rPr>
        <w:t xml:space="preserve">« </w:t>
      </w:r>
      <w:r w:rsidR="0074705A" w:rsidRPr="00D145F6">
        <w:rPr>
          <w:rFonts w:ascii="Gill Sans MT" w:hAnsi="Gill Sans MT"/>
          <w:i/>
        </w:rPr>
        <w:t>l’attribution de compensation est recalculée à chaque transfert de charges</w:t>
      </w:r>
      <w:r w:rsidR="0074705A" w:rsidRPr="00D145F6">
        <w:rPr>
          <w:rFonts w:ascii="Gill Sans MT" w:hAnsi="Gill Sans MT"/>
        </w:rPr>
        <w:t xml:space="preserve"> » </w:t>
      </w:r>
      <w:r w:rsidRPr="00D145F6">
        <w:rPr>
          <w:rFonts w:ascii="Gill Sans MT" w:hAnsi="Gill Sans MT"/>
        </w:rPr>
        <w:t>grâce au concours de la C</w:t>
      </w:r>
      <w:r w:rsidR="0074705A" w:rsidRPr="00D145F6">
        <w:rPr>
          <w:rFonts w:ascii="Gill Sans MT" w:hAnsi="Gill Sans MT"/>
        </w:rPr>
        <w:t>ommission locale d’évaluation des charges et des r</w:t>
      </w:r>
      <w:r w:rsidRPr="00D145F6">
        <w:rPr>
          <w:rFonts w:ascii="Gill Sans MT" w:hAnsi="Gill Sans MT"/>
        </w:rPr>
        <w:t xml:space="preserve">essources transférées (CLERCT) dont la mission </w:t>
      </w:r>
      <w:r w:rsidR="00C4015E" w:rsidRPr="00D145F6">
        <w:rPr>
          <w:rFonts w:ascii="Gill Sans MT" w:hAnsi="Gill Sans MT"/>
        </w:rPr>
        <w:t xml:space="preserve">consiste </w:t>
      </w:r>
      <w:r w:rsidR="00C4015E">
        <w:rPr>
          <w:rFonts w:ascii="Gill Sans MT" w:hAnsi="Gill Sans MT"/>
        </w:rPr>
        <w:t xml:space="preserve">précisément </w:t>
      </w:r>
      <w:r w:rsidRPr="00D145F6">
        <w:rPr>
          <w:rFonts w:ascii="Gill Sans MT" w:hAnsi="Gill Sans MT"/>
        </w:rPr>
        <w:t>à évaluer le coût net des charges transférées.</w:t>
      </w:r>
    </w:p>
    <w:p w:rsidR="00E7582D" w:rsidRPr="000D3C51" w:rsidRDefault="00E7582D" w:rsidP="0074705A">
      <w:pPr>
        <w:jc w:val="both"/>
        <w:rPr>
          <w:rFonts w:ascii="Gill Sans MT" w:hAnsi="Gill Sans MT"/>
          <w:u w:val="single"/>
        </w:rPr>
      </w:pPr>
      <w:r w:rsidRPr="000D3C51">
        <w:rPr>
          <w:rFonts w:ascii="Gill Sans MT" w:hAnsi="Gill Sans MT"/>
          <w:u w:val="single"/>
        </w:rPr>
        <w:t>La méthode de calcul des charges tra</w:t>
      </w:r>
      <w:r w:rsidR="00260EB4">
        <w:rPr>
          <w:rFonts w:ascii="Gill Sans MT" w:hAnsi="Gill Sans MT"/>
          <w:u w:val="single"/>
        </w:rPr>
        <w:t>nsférées est différente selon que</w:t>
      </w:r>
      <w:r w:rsidRPr="000D3C51">
        <w:rPr>
          <w:rFonts w:ascii="Gill Sans MT" w:hAnsi="Gill Sans MT"/>
          <w:u w:val="single"/>
        </w:rPr>
        <w:t xml:space="preserve"> les dépenses sont liées ou non à un équipement.</w:t>
      </w:r>
    </w:p>
    <w:p w:rsidR="00E7582D" w:rsidRPr="00D145F6" w:rsidRDefault="00C4015E" w:rsidP="00E7582D">
      <w:pPr>
        <w:jc w:val="both"/>
        <w:rPr>
          <w:rFonts w:ascii="Gill Sans MT" w:hAnsi="Gill Sans MT"/>
        </w:rPr>
      </w:pPr>
      <w:r w:rsidRPr="00585879">
        <w:rPr>
          <w:rFonts w:ascii="Gill Sans MT" w:hAnsi="Gill Sans MT"/>
          <w:u w:val="single"/>
        </w:rPr>
        <w:t xml:space="preserve">Pour </w:t>
      </w:r>
      <w:r w:rsidR="00E7582D" w:rsidRPr="00585879">
        <w:rPr>
          <w:rFonts w:ascii="Gill Sans MT" w:hAnsi="Gill Sans MT"/>
          <w:u w:val="single"/>
        </w:rPr>
        <w:t>l</w:t>
      </w:r>
      <w:r w:rsidR="00912178" w:rsidRPr="00585879">
        <w:rPr>
          <w:rFonts w:ascii="Gill Sans MT" w:hAnsi="Gill Sans MT"/>
          <w:u w:val="single"/>
        </w:rPr>
        <w:t xml:space="preserve">es dépenses de fonctionnement </w:t>
      </w:r>
      <w:r w:rsidR="00E7582D" w:rsidRPr="00585879">
        <w:rPr>
          <w:rFonts w:ascii="Gill Sans MT" w:hAnsi="Gill Sans MT"/>
          <w:u w:val="single"/>
        </w:rPr>
        <w:t>non liées à un équipement</w:t>
      </w:r>
      <w:r w:rsidR="000D3C51" w:rsidRPr="00585879">
        <w:rPr>
          <w:rFonts w:ascii="Gill Sans MT" w:hAnsi="Gill Sans MT"/>
          <w:u w:val="single"/>
        </w:rPr>
        <w:t xml:space="preserve">, elles peuvent être évaluées </w:t>
      </w:r>
      <w:r w:rsidR="00912178" w:rsidRPr="00585879">
        <w:rPr>
          <w:rFonts w:ascii="Gill Sans MT" w:hAnsi="Gill Sans MT"/>
          <w:u w:val="single"/>
        </w:rPr>
        <w:t>selon deux méthodes.</w:t>
      </w:r>
      <w:r w:rsidR="000D3C51">
        <w:rPr>
          <w:rFonts w:ascii="Gill Sans MT" w:hAnsi="Gill Sans MT"/>
        </w:rPr>
        <w:t xml:space="preserve"> </w:t>
      </w:r>
      <w:proofErr w:type="gramStart"/>
      <w:r w:rsidR="00912178" w:rsidRPr="000D3C51">
        <w:rPr>
          <w:rFonts w:ascii="Gill Sans MT" w:hAnsi="Gill Sans MT"/>
        </w:rPr>
        <w:t>Soit e</w:t>
      </w:r>
      <w:r w:rsidRPr="000D3C51">
        <w:rPr>
          <w:rFonts w:ascii="Gill Sans MT" w:hAnsi="Gill Sans MT"/>
        </w:rPr>
        <w:t>lles</w:t>
      </w:r>
      <w:proofErr w:type="gramEnd"/>
      <w:r w:rsidRPr="000D3C51">
        <w:rPr>
          <w:rFonts w:ascii="Gill Sans MT" w:hAnsi="Gill Sans MT"/>
        </w:rPr>
        <w:t xml:space="preserve"> </w:t>
      </w:r>
      <w:r w:rsidR="00E7582D" w:rsidRPr="000D3C51">
        <w:rPr>
          <w:rFonts w:ascii="Gill Sans MT" w:hAnsi="Gill Sans MT"/>
        </w:rPr>
        <w:t>sont évaluées d'après leur coût réel dans les budgets communaux</w:t>
      </w:r>
      <w:r w:rsidR="00E7582D" w:rsidRPr="00D145F6">
        <w:rPr>
          <w:rFonts w:ascii="Gill Sans MT" w:hAnsi="Gill Sans MT"/>
        </w:rPr>
        <w:t xml:space="preserve"> lors de l'exercice précédant</w:t>
      </w:r>
      <w:r w:rsidR="00912178">
        <w:rPr>
          <w:rFonts w:ascii="Gill Sans MT" w:hAnsi="Gill Sans MT"/>
        </w:rPr>
        <w:t xml:space="preserve"> le transfert de compétences ; soit </w:t>
      </w:r>
      <w:r w:rsidR="00E7582D" w:rsidRPr="00D145F6">
        <w:rPr>
          <w:rFonts w:ascii="Gill Sans MT" w:hAnsi="Gill Sans MT"/>
        </w:rPr>
        <w:t xml:space="preserve">d'après leur coût réel dans les comptes administratifs des exercices </w:t>
      </w:r>
      <w:r w:rsidRPr="00D145F6">
        <w:rPr>
          <w:rFonts w:ascii="Gill Sans MT" w:hAnsi="Gill Sans MT"/>
        </w:rPr>
        <w:t>précédents</w:t>
      </w:r>
      <w:r w:rsidR="00E7582D" w:rsidRPr="00D145F6">
        <w:rPr>
          <w:rFonts w:ascii="Gill Sans MT" w:hAnsi="Gill Sans MT"/>
        </w:rPr>
        <w:t xml:space="preserve"> ce transfert</w:t>
      </w:r>
      <w:r w:rsidR="00912178">
        <w:rPr>
          <w:rFonts w:ascii="Gill Sans MT" w:hAnsi="Gill Sans MT"/>
        </w:rPr>
        <w:t xml:space="preserve"> sur une</w:t>
      </w:r>
      <w:r w:rsidR="00E7582D" w:rsidRPr="00D145F6">
        <w:rPr>
          <w:rFonts w:ascii="Gill Sans MT" w:hAnsi="Gill Sans MT"/>
        </w:rPr>
        <w:t xml:space="preserve"> période de référence est déterminée par la</w:t>
      </w:r>
      <w:r w:rsidR="000D3C51">
        <w:rPr>
          <w:rFonts w:ascii="Gill Sans MT" w:hAnsi="Gill Sans MT"/>
        </w:rPr>
        <w:t xml:space="preserve"> CLERCT</w:t>
      </w:r>
      <w:r w:rsidR="00E7582D" w:rsidRPr="00D145F6">
        <w:rPr>
          <w:rFonts w:ascii="Gill Sans MT" w:hAnsi="Gill Sans MT"/>
        </w:rPr>
        <w:t>.</w:t>
      </w:r>
    </w:p>
    <w:p w:rsidR="00E7582D" w:rsidRPr="00D145F6" w:rsidRDefault="00912178" w:rsidP="00E7582D">
      <w:pPr>
        <w:jc w:val="both"/>
        <w:rPr>
          <w:rFonts w:ascii="Gill Sans MT" w:hAnsi="Gill Sans MT"/>
        </w:rPr>
      </w:pPr>
      <w:r w:rsidRPr="00585879">
        <w:rPr>
          <w:rFonts w:ascii="Gill Sans MT" w:hAnsi="Gill Sans MT"/>
          <w:u w:val="single"/>
        </w:rPr>
        <w:lastRenderedPageBreak/>
        <w:t xml:space="preserve">Pour les </w:t>
      </w:r>
      <w:r w:rsidR="00E7582D" w:rsidRPr="00585879">
        <w:rPr>
          <w:rFonts w:ascii="Gill Sans MT" w:hAnsi="Gill Sans MT"/>
          <w:u w:val="single"/>
        </w:rPr>
        <w:t xml:space="preserve">dépenses liées à des équipements </w:t>
      </w:r>
      <w:r w:rsidRPr="00585879">
        <w:rPr>
          <w:rFonts w:ascii="Gill Sans MT" w:hAnsi="Gill Sans MT"/>
          <w:u w:val="single"/>
        </w:rPr>
        <w:t>relevant des compétences transférées, le montant des compensations est</w:t>
      </w:r>
      <w:r w:rsidR="00E7582D" w:rsidRPr="00585879">
        <w:rPr>
          <w:rFonts w:ascii="Gill Sans MT" w:hAnsi="Gill Sans MT"/>
          <w:u w:val="single"/>
        </w:rPr>
        <w:t xml:space="preserve"> calculé sur la base d'un coût moyen annualisé.</w:t>
      </w:r>
      <w:r w:rsidR="00E7582D" w:rsidRPr="000D3C51">
        <w:rPr>
          <w:rFonts w:ascii="Gill Sans MT" w:hAnsi="Gill Sans MT"/>
        </w:rPr>
        <w:t xml:space="preserve"> </w:t>
      </w:r>
      <w:r w:rsidR="00E7582D" w:rsidRPr="00D145F6">
        <w:rPr>
          <w:rFonts w:ascii="Gill Sans MT" w:hAnsi="Gill Sans MT"/>
        </w:rPr>
        <w:t>Ce coût a vocation à intégrer les coûts de réalisation ou d'acquisition de l'équipement, les charges financières afférentes et les dépenses d'entretien. L'ensemble de ces dépenses est pris en compte pour une durée normale d'utilisation et ramené à une seule année.</w:t>
      </w:r>
    </w:p>
    <w:p w:rsidR="00011B4C" w:rsidRDefault="00011B4C" w:rsidP="007612D0">
      <w:pPr>
        <w:jc w:val="both"/>
        <w:rPr>
          <w:rFonts w:ascii="Gill Sans MT" w:hAnsi="Gill Sans MT"/>
        </w:rPr>
      </w:pPr>
      <w:r>
        <w:rPr>
          <w:rFonts w:ascii="Gill Sans MT" w:hAnsi="Gill Sans MT"/>
        </w:rPr>
        <w:t xml:space="preserve">La CLERT doit </w:t>
      </w:r>
      <w:r w:rsidR="007612D0" w:rsidRPr="00D145F6">
        <w:rPr>
          <w:rFonts w:ascii="Gill Sans MT" w:hAnsi="Gill Sans MT"/>
        </w:rPr>
        <w:t>remet</w:t>
      </w:r>
      <w:r>
        <w:rPr>
          <w:rFonts w:ascii="Gill Sans MT" w:hAnsi="Gill Sans MT"/>
        </w:rPr>
        <w:t>tre</w:t>
      </w:r>
      <w:r w:rsidR="007612D0" w:rsidRPr="00D145F6">
        <w:rPr>
          <w:rFonts w:ascii="Gill Sans MT" w:hAnsi="Gill Sans MT"/>
        </w:rPr>
        <w:t xml:space="preserve"> dans un délai de neuf mois à compter de la date du transfert un rapport évaluant le coût net des charges transférées, approuvé par délibérations concordantes de la majorité qualifiée des conseils municipaux. </w:t>
      </w:r>
    </w:p>
    <w:p w:rsidR="005762AA" w:rsidRDefault="007612D0" w:rsidP="007612D0">
      <w:pPr>
        <w:jc w:val="both"/>
        <w:rPr>
          <w:rFonts w:ascii="Gill Sans MT" w:hAnsi="Gill Sans MT"/>
        </w:rPr>
      </w:pPr>
      <w:r w:rsidRPr="00585879">
        <w:rPr>
          <w:rFonts w:ascii="Gill Sans MT" w:hAnsi="Gill Sans MT"/>
          <w:u w:val="single"/>
        </w:rPr>
        <w:t>En l’absence d’un tel rapport ou à défaut d'approbation de celui-ci dans les conditions prévues, le coût net des charges transférées est constaté par arrêté du représentant de l'Etat dans le département</w:t>
      </w:r>
      <w:r w:rsidRPr="00D145F6">
        <w:rPr>
          <w:rFonts w:ascii="Gill Sans MT" w:hAnsi="Gill Sans MT"/>
        </w:rPr>
        <w:t xml:space="preserve">. </w:t>
      </w:r>
      <w:r w:rsidR="00011B4C">
        <w:rPr>
          <w:rFonts w:ascii="Gill Sans MT" w:hAnsi="Gill Sans MT"/>
        </w:rPr>
        <w:t>L</w:t>
      </w:r>
      <w:r w:rsidRPr="00D145F6">
        <w:rPr>
          <w:rFonts w:ascii="Gill Sans MT" w:hAnsi="Gill Sans MT"/>
        </w:rPr>
        <w:t>e coût</w:t>
      </w:r>
      <w:r w:rsidR="00011B4C">
        <w:rPr>
          <w:rFonts w:ascii="Gill Sans MT" w:hAnsi="Gill Sans MT"/>
        </w:rPr>
        <w:t xml:space="preserve"> arrêté par le Préfet</w:t>
      </w:r>
      <w:r w:rsidRPr="00D145F6">
        <w:rPr>
          <w:rFonts w:ascii="Gill Sans MT" w:hAnsi="Gill Sans MT"/>
        </w:rPr>
        <w:t xml:space="preserve"> est égal à la moyenne des dépenses figurant sur les comptes administratifs de la collect</w:t>
      </w:r>
      <w:r w:rsidR="00011B4C">
        <w:rPr>
          <w:rFonts w:ascii="Gill Sans MT" w:hAnsi="Gill Sans MT"/>
        </w:rPr>
        <w:t xml:space="preserve">ivité à l'origine du transfert. Son montant </w:t>
      </w:r>
      <w:r w:rsidR="005762AA">
        <w:rPr>
          <w:rFonts w:ascii="Gill Sans MT" w:hAnsi="Gill Sans MT"/>
        </w:rPr>
        <w:t>varie selon la nature des dépenses :</w:t>
      </w:r>
    </w:p>
    <w:p w:rsidR="00011B4C" w:rsidRDefault="005762AA" w:rsidP="005762AA">
      <w:pPr>
        <w:pStyle w:val="Paragraphedeliste"/>
        <w:numPr>
          <w:ilvl w:val="0"/>
          <w:numId w:val="3"/>
        </w:numPr>
        <w:jc w:val="both"/>
        <w:rPr>
          <w:rFonts w:ascii="Gill Sans MT" w:hAnsi="Gill Sans MT"/>
        </w:rPr>
      </w:pPr>
      <w:proofErr w:type="gramStart"/>
      <w:r w:rsidRPr="00260EB4">
        <w:rPr>
          <w:rFonts w:ascii="Gill Sans MT" w:hAnsi="Gill Sans MT"/>
          <w:u w:val="single"/>
        </w:rPr>
        <w:t>pour</w:t>
      </w:r>
      <w:proofErr w:type="gramEnd"/>
      <w:r w:rsidRPr="00260EB4">
        <w:rPr>
          <w:rFonts w:ascii="Gill Sans MT" w:hAnsi="Gill Sans MT"/>
          <w:u w:val="single"/>
        </w:rPr>
        <w:t xml:space="preserve"> les dépenses de fonctionnement</w:t>
      </w:r>
      <w:r>
        <w:rPr>
          <w:rFonts w:ascii="Gill Sans MT" w:hAnsi="Gill Sans MT"/>
        </w:rPr>
        <w:t xml:space="preserve">, le montant </w:t>
      </w:r>
      <w:r w:rsidR="00011B4C" w:rsidRPr="005762AA">
        <w:rPr>
          <w:rFonts w:ascii="Gill Sans MT" w:hAnsi="Gill Sans MT"/>
        </w:rPr>
        <w:t xml:space="preserve">est actualisé </w:t>
      </w:r>
      <w:r w:rsidR="007612D0" w:rsidRPr="005762AA">
        <w:rPr>
          <w:rFonts w:ascii="Gill Sans MT" w:hAnsi="Gill Sans MT"/>
        </w:rPr>
        <w:t xml:space="preserve">en fonction de l'indice des prix constaté à la date des transferts sur </w:t>
      </w:r>
      <w:r w:rsidR="007612D0" w:rsidRPr="00260EB4">
        <w:rPr>
          <w:rFonts w:ascii="Gill Sans MT" w:hAnsi="Gill Sans MT"/>
          <w:u w:val="single"/>
        </w:rPr>
        <w:t>une période de t</w:t>
      </w:r>
      <w:r w:rsidRPr="00260EB4">
        <w:rPr>
          <w:rFonts w:ascii="Gill Sans MT" w:hAnsi="Gill Sans MT"/>
          <w:u w:val="single"/>
        </w:rPr>
        <w:t>rois ans</w:t>
      </w:r>
      <w:r>
        <w:rPr>
          <w:rFonts w:ascii="Gill Sans MT" w:hAnsi="Gill Sans MT"/>
        </w:rPr>
        <w:t xml:space="preserve"> précédant le transfert ;</w:t>
      </w:r>
    </w:p>
    <w:p w:rsidR="005762AA" w:rsidRDefault="005762AA" w:rsidP="005762AA">
      <w:pPr>
        <w:pStyle w:val="Paragraphedeliste"/>
        <w:jc w:val="both"/>
        <w:rPr>
          <w:rFonts w:ascii="Gill Sans MT" w:hAnsi="Gill Sans MT"/>
        </w:rPr>
      </w:pPr>
    </w:p>
    <w:p w:rsidR="005762AA" w:rsidRPr="00E2314E" w:rsidRDefault="005762AA" w:rsidP="00E2314E">
      <w:pPr>
        <w:pStyle w:val="Paragraphedeliste"/>
        <w:numPr>
          <w:ilvl w:val="0"/>
          <w:numId w:val="3"/>
        </w:numPr>
        <w:jc w:val="both"/>
        <w:rPr>
          <w:rFonts w:ascii="Gill Sans MT" w:hAnsi="Gill Sans MT"/>
        </w:rPr>
      </w:pPr>
      <w:proofErr w:type="gramStart"/>
      <w:r w:rsidRPr="00260EB4">
        <w:rPr>
          <w:rFonts w:ascii="Gill Sans MT" w:hAnsi="Gill Sans MT"/>
          <w:u w:val="single"/>
        </w:rPr>
        <w:t>pour</w:t>
      </w:r>
      <w:proofErr w:type="gramEnd"/>
      <w:r w:rsidRPr="00260EB4">
        <w:rPr>
          <w:rFonts w:ascii="Gill Sans MT" w:hAnsi="Gill Sans MT"/>
          <w:u w:val="single"/>
        </w:rPr>
        <w:t xml:space="preserve"> les dépenses d’investissement</w:t>
      </w:r>
      <w:r>
        <w:rPr>
          <w:rFonts w:ascii="Gill Sans MT" w:hAnsi="Gill Sans MT"/>
        </w:rPr>
        <w:t xml:space="preserve">, le montant est actualisé </w:t>
      </w:r>
      <w:r w:rsidR="007612D0" w:rsidRPr="005762AA">
        <w:rPr>
          <w:rFonts w:ascii="Gill Sans MT" w:hAnsi="Gill Sans MT"/>
        </w:rPr>
        <w:t xml:space="preserve">en fonction de l'indice des prix de la formation brute de capital fixe des administrations publiques, constaté à la date des transferts, sur </w:t>
      </w:r>
      <w:r w:rsidR="007612D0" w:rsidRPr="00260EB4">
        <w:rPr>
          <w:rFonts w:ascii="Gill Sans MT" w:hAnsi="Gill Sans MT"/>
          <w:u w:val="single"/>
        </w:rPr>
        <w:t>une période de sept ans</w:t>
      </w:r>
      <w:r w:rsidR="007612D0" w:rsidRPr="005762AA">
        <w:rPr>
          <w:rFonts w:ascii="Gill Sans MT" w:hAnsi="Gill Sans MT"/>
        </w:rPr>
        <w:t xml:space="preserve"> précédant le transfert pour les dépenses d'investissement. </w:t>
      </w:r>
    </w:p>
    <w:p w:rsidR="00CA3A83" w:rsidRPr="00CA3A83" w:rsidRDefault="006D7728" w:rsidP="00CA3A83">
      <w:pPr>
        <w:pBdr>
          <w:bottom w:val="single" w:sz="12" w:space="1" w:color="5B9BD5" w:themeColor="accent5"/>
        </w:pBdr>
        <w:jc w:val="both"/>
        <w:rPr>
          <w:rFonts w:ascii="Gill Sans MT" w:hAnsi="Gill Sans MT"/>
          <w:b/>
          <w:color w:val="5B9BD5" w:themeColor="accent5"/>
        </w:rPr>
      </w:pPr>
      <w:bookmarkStart w:id="1" w:name="_Hlk496787174"/>
      <w:r w:rsidRPr="00D145F6">
        <w:rPr>
          <w:rFonts w:ascii="Gill Sans MT" w:hAnsi="Gill Sans MT"/>
          <w:b/>
          <w:color w:val="5B9BD5" w:themeColor="accent5"/>
        </w:rPr>
        <w:t xml:space="preserve">V. </w:t>
      </w:r>
      <w:r w:rsidR="00D856AF" w:rsidRPr="00D145F6">
        <w:rPr>
          <w:rFonts w:ascii="Gill Sans MT" w:hAnsi="Gill Sans MT"/>
          <w:b/>
          <w:color w:val="5B9BD5" w:themeColor="accent5"/>
        </w:rPr>
        <w:t>La modulation du tarif de</w:t>
      </w:r>
      <w:r w:rsidR="00096153">
        <w:rPr>
          <w:rFonts w:ascii="Gill Sans MT" w:hAnsi="Gill Sans MT"/>
          <w:b/>
          <w:color w:val="5B9BD5" w:themeColor="accent5"/>
        </w:rPr>
        <w:t xml:space="preserve"> l’eau et de</w:t>
      </w:r>
      <w:r w:rsidR="00D856AF" w:rsidRPr="00D145F6">
        <w:rPr>
          <w:rFonts w:ascii="Gill Sans MT" w:hAnsi="Gill Sans MT"/>
          <w:b/>
          <w:color w:val="5B9BD5" w:themeColor="accent5"/>
        </w:rPr>
        <w:t xml:space="preserve"> l</w:t>
      </w:r>
      <w:r w:rsidR="00CA3A83">
        <w:rPr>
          <w:rFonts w:ascii="Gill Sans MT" w:hAnsi="Gill Sans MT"/>
          <w:b/>
          <w:color w:val="5B9BD5" w:themeColor="accent5"/>
        </w:rPr>
        <w:t xml:space="preserve">’assainissement </w:t>
      </w:r>
    </w:p>
    <w:p w:rsidR="005B11E1" w:rsidRPr="005B11E1" w:rsidRDefault="005B11E1" w:rsidP="0074705A">
      <w:pPr>
        <w:jc w:val="both"/>
        <w:rPr>
          <w:rFonts w:ascii="Gill Sans MT" w:hAnsi="Gill Sans MT"/>
          <w:b/>
        </w:rPr>
      </w:pPr>
      <w:r w:rsidRPr="005B11E1">
        <w:rPr>
          <w:rFonts w:ascii="Gill Sans MT" w:hAnsi="Gill Sans MT"/>
          <w:b/>
        </w:rPr>
        <w:t xml:space="preserve">A. Cadre </w:t>
      </w:r>
      <w:r w:rsidR="00AD1EB8">
        <w:rPr>
          <w:rFonts w:ascii="Gill Sans MT" w:hAnsi="Gill Sans MT"/>
          <w:b/>
        </w:rPr>
        <w:t>général</w:t>
      </w:r>
    </w:p>
    <w:p w:rsidR="00D63B85" w:rsidRPr="00D145F6" w:rsidRDefault="00D63B85" w:rsidP="00D63B85">
      <w:pPr>
        <w:jc w:val="both"/>
        <w:rPr>
          <w:rFonts w:ascii="Gill Sans MT" w:hAnsi="Gill Sans MT"/>
        </w:rPr>
      </w:pPr>
      <w:r w:rsidRPr="00D145F6">
        <w:rPr>
          <w:rFonts w:ascii="Gill Sans MT" w:hAnsi="Gill Sans MT"/>
        </w:rPr>
        <w:t xml:space="preserve">La modulation du tarif </w:t>
      </w:r>
      <w:r>
        <w:rPr>
          <w:rFonts w:ascii="Gill Sans MT" w:hAnsi="Gill Sans MT"/>
        </w:rPr>
        <w:t xml:space="preserve">n’est prévue par la loi que dans le domaine de l’eau potable. Ainsi </w:t>
      </w:r>
      <w:r w:rsidRPr="00D145F6">
        <w:rPr>
          <w:rFonts w:ascii="Gill Sans MT" w:hAnsi="Gill Sans MT"/>
        </w:rPr>
        <w:t>« </w:t>
      </w:r>
      <w:r w:rsidRPr="00D145F6">
        <w:rPr>
          <w:rFonts w:ascii="Gill Sans MT" w:hAnsi="Gill Sans MT"/>
          <w:i/>
        </w:rPr>
        <w:t>dans les communes où l’équilibre entre la ressource et la consommation d’eau est menacée de façon saisonnière, le conseil municipal ou l’assemblée délibérante du groupement de collectivités territoriales peut définir des tarifs différents selon les périodes de l’année</w:t>
      </w:r>
      <w:r>
        <w:rPr>
          <w:rFonts w:ascii="Gill Sans MT" w:hAnsi="Gill Sans MT"/>
        </w:rPr>
        <w:t xml:space="preserve"> » (art. </w:t>
      </w:r>
      <w:r w:rsidRPr="00D145F6">
        <w:rPr>
          <w:rFonts w:ascii="Gill Sans MT" w:hAnsi="Gill Sans MT"/>
        </w:rPr>
        <w:t xml:space="preserve">L. 2224-12-4 du </w:t>
      </w:r>
      <w:r>
        <w:rPr>
          <w:rFonts w:ascii="Gill Sans MT" w:hAnsi="Gill Sans MT"/>
        </w:rPr>
        <w:t xml:space="preserve">CGCT). </w:t>
      </w:r>
    </w:p>
    <w:p w:rsidR="00D63B85" w:rsidRDefault="00D63B85" w:rsidP="00D63B85">
      <w:pPr>
        <w:jc w:val="both"/>
        <w:rPr>
          <w:rFonts w:ascii="Gill Sans MT" w:hAnsi="Gill Sans MT"/>
        </w:rPr>
      </w:pPr>
      <w:r>
        <w:rPr>
          <w:rFonts w:ascii="Gill Sans MT" w:hAnsi="Gill Sans MT"/>
        </w:rPr>
        <w:t>Au</w:t>
      </w:r>
      <w:r w:rsidRPr="00D145F6">
        <w:rPr>
          <w:rFonts w:ascii="Gill Sans MT" w:hAnsi="Gill Sans MT"/>
        </w:rPr>
        <w:t xml:space="preserve">cune disposition </w:t>
      </w:r>
      <w:r>
        <w:rPr>
          <w:rFonts w:ascii="Gill Sans MT" w:hAnsi="Gill Sans MT"/>
        </w:rPr>
        <w:t xml:space="preserve">légale </w:t>
      </w:r>
      <w:r w:rsidRPr="00D145F6">
        <w:rPr>
          <w:rFonts w:ascii="Gill Sans MT" w:hAnsi="Gill Sans MT"/>
        </w:rPr>
        <w:t xml:space="preserve">n’autorise expressément une telle différentiation tarifaire en matière d’assainissement. </w:t>
      </w:r>
    </w:p>
    <w:p w:rsidR="00D63B85" w:rsidRDefault="00D63B85" w:rsidP="00D63B85">
      <w:pPr>
        <w:jc w:val="both"/>
        <w:rPr>
          <w:rFonts w:ascii="Gill Sans MT" w:eastAsia="Times New Roman" w:hAnsi="Gill Sans MT" w:cs="Times New Roman"/>
          <w:color w:val="000000"/>
          <w:shd w:val="clear" w:color="auto" w:fill="FFFFFF"/>
          <w:lang w:eastAsia="fr-FR"/>
        </w:rPr>
      </w:pPr>
      <w:r>
        <w:rPr>
          <w:rFonts w:ascii="Gill Sans MT" w:hAnsi="Gill Sans MT"/>
        </w:rPr>
        <w:t xml:space="preserve">Pour connaître </w:t>
      </w:r>
      <w:r w:rsidRPr="00D145F6">
        <w:rPr>
          <w:rFonts w:ascii="Gill Sans MT" w:eastAsia="Times New Roman" w:hAnsi="Gill Sans MT" w:cs="Times New Roman"/>
          <w:color w:val="000000"/>
          <w:shd w:val="clear" w:color="auto" w:fill="FFFFFF"/>
          <w:lang w:eastAsia="fr-FR"/>
        </w:rPr>
        <w:t xml:space="preserve">la validité d’une modulation tarifaire, </w:t>
      </w:r>
      <w:r>
        <w:rPr>
          <w:rFonts w:ascii="Gill Sans MT" w:eastAsia="Times New Roman" w:hAnsi="Gill Sans MT" w:cs="Times New Roman"/>
          <w:color w:val="000000"/>
          <w:shd w:val="clear" w:color="auto" w:fill="FFFFFF"/>
          <w:lang w:eastAsia="fr-FR"/>
        </w:rPr>
        <w:t xml:space="preserve">en matière </w:t>
      </w:r>
      <w:proofErr w:type="gramStart"/>
      <w:r>
        <w:rPr>
          <w:rFonts w:ascii="Gill Sans MT" w:eastAsia="Times New Roman" w:hAnsi="Gill Sans MT" w:cs="Times New Roman"/>
          <w:color w:val="000000"/>
          <w:shd w:val="clear" w:color="auto" w:fill="FFFFFF"/>
          <w:lang w:eastAsia="fr-FR"/>
        </w:rPr>
        <w:t>d’ «</w:t>
      </w:r>
      <w:proofErr w:type="gramEnd"/>
      <w:r>
        <w:rPr>
          <w:rFonts w:ascii="Gill Sans MT" w:eastAsia="Times New Roman" w:hAnsi="Gill Sans MT" w:cs="Times New Roman"/>
          <w:color w:val="000000"/>
          <w:shd w:val="clear" w:color="auto" w:fill="FFFFFF"/>
          <w:lang w:eastAsia="fr-FR"/>
        </w:rPr>
        <w:t xml:space="preserve"> eau » et/ou d’ « assainissement », </w:t>
      </w:r>
      <w:r w:rsidRPr="00D145F6">
        <w:rPr>
          <w:rFonts w:ascii="Gill Sans MT" w:eastAsia="Times New Roman" w:hAnsi="Gill Sans MT" w:cs="Times New Roman"/>
          <w:color w:val="000000"/>
          <w:shd w:val="clear" w:color="auto" w:fill="FFFFFF"/>
          <w:lang w:eastAsia="fr-FR"/>
        </w:rPr>
        <w:t>il faut se référer aux principes généraux applicables aux</w:t>
      </w:r>
      <w:r>
        <w:rPr>
          <w:rFonts w:ascii="Gill Sans MT" w:eastAsia="Times New Roman" w:hAnsi="Gill Sans MT" w:cs="Times New Roman"/>
          <w:color w:val="000000"/>
          <w:shd w:val="clear" w:color="auto" w:fill="FFFFFF"/>
          <w:lang w:eastAsia="fr-FR"/>
        </w:rPr>
        <w:t xml:space="preserve"> redevances pour service rendu consacrés par la jurisprudence. </w:t>
      </w:r>
    </w:p>
    <w:p w:rsidR="00D63B85" w:rsidRDefault="00D63B85" w:rsidP="00D63B85">
      <w:pPr>
        <w:jc w:val="both"/>
        <w:rPr>
          <w:rFonts w:ascii="Gill Sans MT" w:eastAsia="Times New Roman" w:hAnsi="Gill Sans MT" w:cs="Times New Roman"/>
          <w:color w:val="000000"/>
          <w:shd w:val="clear" w:color="auto" w:fill="FFFFFF"/>
          <w:lang w:eastAsia="fr-FR"/>
        </w:rPr>
      </w:pPr>
      <w:r>
        <w:rPr>
          <w:rFonts w:ascii="Gill Sans MT" w:eastAsia="Times New Roman" w:hAnsi="Gill Sans MT" w:cs="Times New Roman"/>
          <w:color w:val="000000"/>
          <w:shd w:val="clear" w:color="auto" w:fill="FFFFFF"/>
          <w:lang w:eastAsia="fr-FR"/>
        </w:rPr>
        <w:t xml:space="preserve">D’une part, </w:t>
      </w:r>
      <w:r w:rsidRPr="00D145F6">
        <w:rPr>
          <w:rFonts w:ascii="Gill Sans MT" w:eastAsia="Times New Roman" w:hAnsi="Gill Sans MT" w:cs="Times New Roman"/>
          <w:color w:val="000000"/>
          <w:shd w:val="clear" w:color="auto" w:fill="FFFFFF"/>
          <w:lang w:eastAsia="fr-FR"/>
        </w:rPr>
        <w:t xml:space="preserve">il doit </w:t>
      </w:r>
      <w:r w:rsidRPr="00535B27">
        <w:rPr>
          <w:rFonts w:ascii="Gill Sans MT" w:eastAsia="Times New Roman" w:hAnsi="Gill Sans MT" w:cs="Times New Roman"/>
          <w:color w:val="000000"/>
          <w:shd w:val="clear" w:color="auto" w:fill="FFFFFF"/>
          <w:lang w:eastAsia="fr-FR"/>
        </w:rPr>
        <w:t xml:space="preserve">exister une </w:t>
      </w:r>
      <w:r w:rsidRPr="00D63B85">
        <w:rPr>
          <w:rFonts w:ascii="Gill Sans MT" w:eastAsia="Times New Roman" w:hAnsi="Gill Sans MT" w:cs="Times New Roman"/>
          <w:color w:val="000000"/>
          <w:u w:val="single"/>
          <w:shd w:val="clear" w:color="auto" w:fill="FFFFFF"/>
          <w:lang w:eastAsia="fr-FR"/>
        </w:rPr>
        <w:t>adéquation entre le coût du service et les sommes réclamées aux bénéficiaires</w:t>
      </w:r>
      <w:r w:rsidRPr="00535B27">
        <w:rPr>
          <w:rFonts w:ascii="Gill Sans MT" w:eastAsia="Times New Roman" w:hAnsi="Gill Sans MT" w:cs="Times New Roman"/>
          <w:color w:val="000000"/>
          <w:shd w:val="clear" w:color="auto" w:fill="FFFFFF"/>
          <w:lang w:eastAsia="fr-FR"/>
        </w:rPr>
        <w:t xml:space="preserve"> et d’autre part, le principe d'éga</w:t>
      </w:r>
      <w:r>
        <w:rPr>
          <w:rFonts w:ascii="Gill Sans MT" w:eastAsia="Times New Roman" w:hAnsi="Gill Sans MT" w:cs="Times New Roman"/>
          <w:color w:val="000000"/>
          <w:shd w:val="clear" w:color="auto" w:fill="FFFFFF"/>
          <w:lang w:eastAsia="fr-FR"/>
        </w:rPr>
        <w:t xml:space="preserve">lité devant le service public, </w:t>
      </w:r>
      <w:r w:rsidRPr="00535B27">
        <w:rPr>
          <w:rFonts w:ascii="Gill Sans MT" w:eastAsia="Times New Roman" w:hAnsi="Gill Sans MT" w:cs="Times New Roman"/>
          <w:color w:val="000000"/>
          <w:shd w:val="clear" w:color="auto" w:fill="FFFFFF"/>
          <w:lang w:eastAsia="fr-FR"/>
        </w:rPr>
        <w:t xml:space="preserve">consacré en matière tarifaire par l’arrêt du Conseil d’Etat </w:t>
      </w:r>
      <w:r w:rsidRPr="00535B27">
        <w:rPr>
          <w:rFonts w:ascii="Gill Sans MT" w:eastAsia="Times New Roman" w:hAnsi="Gill Sans MT" w:cs="Times New Roman"/>
          <w:i/>
          <w:color w:val="000000"/>
          <w:shd w:val="clear" w:color="auto" w:fill="FFFFFF"/>
          <w:lang w:eastAsia="fr-FR"/>
        </w:rPr>
        <w:t>Denoyez et Chorques</w:t>
      </w:r>
      <w:r w:rsidRPr="00535B27">
        <w:rPr>
          <w:rFonts w:ascii="Gill Sans MT" w:eastAsia="Times New Roman" w:hAnsi="Gill Sans MT" w:cs="Times New Roman"/>
          <w:color w:val="000000"/>
          <w:shd w:val="clear" w:color="auto" w:fill="FFFFFF"/>
          <w:lang w:eastAsia="fr-FR"/>
        </w:rPr>
        <w:t xml:space="preserve"> du1</w:t>
      </w:r>
      <w:r>
        <w:rPr>
          <w:rFonts w:ascii="Gill Sans MT" w:eastAsia="Times New Roman" w:hAnsi="Gill Sans MT" w:cs="Times New Roman"/>
          <w:color w:val="000000"/>
          <w:shd w:val="clear" w:color="auto" w:fill="FFFFFF"/>
          <w:lang w:eastAsia="fr-FR"/>
        </w:rPr>
        <w:t xml:space="preserve">0 mai 1974, </w:t>
      </w:r>
      <w:r w:rsidRPr="00535B27">
        <w:rPr>
          <w:rFonts w:ascii="Gill Sans MT" w:eastAsia="Times New Roman" w:hAnsi="Gill Sans MT" w:cs="Times New Roman"/>
          <w:color w:val="000000"/>
          <w:shd w:val="clear" w:color="auto" w:fill="FFFFFF"/>
          <w:lang w:eastAsia="fr-FR"/>
        </w:rPr>
        <w:t>doit être respecté.</w:t>
      </w:r>
      <w:r w:rsidRPr="00D145F6">
        <w:rPr>
          <w:rFonts w:ascii="Gill Sans MT" w:eastAsia="Times New Roman" w:hAnsi="Gill Sans MT" w:cs="Times New Roman"/>
          <w:color w:val="000000"/>
          <w:shd w:val="clear" w:color="auto" w:fill="FFFFFF"/>
          <w:lang w:eastAsia="fr-FR"/>
        </w:rPr>
        <w:t xml:space="preserve"> </w:t>
      </w:r>
    </w:p>
    <w:p w:rsidR="00D63B85" w:rsidRPr="00260EB4" w:rsidRDefault="00D63B85" w:rsidP="00D63B85">
      <w:pPr>
        <w:jc w:val="both"/>
        <w:rPr>
          <w:rFonts w:ascii="Gill Sans MT" w:eastAsia="Times New Roman" w:hAnsi="Gill Sans MT" w:cs="Times New Roman"/>
          <w:i/>
          <w:color w:val="000000"/>
          <w:shd w:val="clear" w:color="auto" w:fill="FFFFFF"/>
          <w:lang w:eastAsia="fr-FR"/>
        </w:rPr>
      </w:pPr>
      <w:r w:rsidRPr="00D63B85">
        <w:rPr>
          <w:rFonts w:ascii="Gill Sans MT" w:eastAsia="Times New Roman" w:hAnsi="Gill Sans MT" w:cs="Times New Roman"/>
          <w:color w:val="000000"/>
          <w:u w:val="single"/>
          <w:shd w:val="clear" w:color="auto" w:fill="FFFFFF"/>
          <w:lang w:eastAsia="fr-FR"/>
        </w:rPr>
        <w:t>Le principe d’égalité ne</w:t>
      </w:r>
      <w:r>
        <w:rPr>
          <w:rFonts w:ascii="Gill Sans MT" w:eastAsia="Times New Roman" w:hAnsi="Gill Sans MT" w:cs="Times New Roman"/>
          <w:color w:val="000000"/>
          <w:shd w:val="clear" w:color="auto" w:fill="FFFFFF"/>
          <w:lang w:eastAsia="fr-FR"/>
        </w:rPr>
        <w:t xml:space="preserve"> </w:t>
      </w:r>
      <w:r w:rsidRPr="00096153">
        <w:rPr>
          <w:rFonts w:ascii="Gill Sans MT" w:eastAsia="Times New Roman" w:hAnsi="Gill Sans MT" w:cs="Times New Roman"/>
          <w:color w:val="000000"/>
          <w:u w:val="single"/>
          <w:shd w:val="clear" w:color="auto" w:fill="FFFFFF"/>
          <w:lang w:eastAsia="fr-FR"/>
        </w:rPr>
        <w:t>fait pas obstacle à la fixation de tarifs différents</w:t>
      </w:r>
      <w:r>
        <w:rPr>
          <w:rFonts w:ascii="Gill Sans MT" w:eastAsia="Times New Roman" w:hAnsi="Gill Sans MT" w:cs="Times New Roman"/>
          <w:color w:val="000000"/>
          <w:shd w:val="clear" w:color="auto" w:fill="FFFFFF"/>
          <w:lang w:eastAsia="fr-FR"/>
        </w:rPr>
        <w:t xml:space="preserve"> </w:t>
      </w:r>
      <w:r w:rsidRPr="00D71506">
        <w:rPr>
          <w:rFonts w:ascii="Gill Sans MT" w:eastAsia="Times New Roman" w:hAnsi="Gill Sans MT" w:cs="Times New Roman"/>
          <w:color w:val="000000"/>
          <w:shd w:val="clear" w:color="auto" w:fill="FFFFFF"/>
          <w:lang w:eastAsia="fr-FR"/>
        </w:rPr>
        <w:t>pour un même service rendu</w:t>
      </w:r>
      <w:r>
        <w:rPr>
          <w:rFonts w:ascii="Gill Sans MT" w:eastAsia="Times New Roman" w:hAnsi="Gill Sans MT" w:cs="Times New Roman"/>
          <w:color w:val="000000"/>
          <w:shd w:val="clear" w:color="auto" w:fill="FFFFFF"/>
          <w:lang w:eastAsia="fr-FR"/>
        </w:rPr>
        <w:t xml:space="preserve">, à condition qu’elle soit fondée sur une différence objective de situation ou sur une </w:t>
      </w:r>
      <w:r w:rsidRPr="00535B27">
        <w:rPr>
          <w:rFonts w:ascii="Gill Sans MT" w:eastAsia="Times New Roman" w:hAnsi="Gill Sans MT" w:cs="Times New Roman"/>
          <w:color w:val="000000"/>
          <w:shd w:val="clear" w:color="auto" w:fill="FFFFFF"/>
          <w:lang w:eastAsia="fr-FR"/>
        </w:rPr>
        <w:t>nécessité d'intérêt général en rapport avec les conditions d'exploitation du service ou de l'ouvrage</w:t>
      </w:r>
      <w:r>
        <w:rPr>
          <w:rFonts w:ascii="Gill Sans MT" w:eastAsia="Times New Roman" w:hAnsi="Gill Sans MT" w:cs="Times New Roman"/>
          <w:i/>
          <w:color w:val="000000"/>
          <w:shd w:val="clear" w:color="auto" w:fill="FFFFFF"/>
          <w:lang w:eastAsia="fr-FR"/>
        </w:rPr>
        <w:t xml:space="preserve">. </w:t>
      </w:r>
    </w:p>
    <w:p w:rsidR="005B11E1" w:rsidRPr="005B11E1" w:rsidRDefault="005B11E1" w:rsidP="0074705A">
      <w:pPr>
        <w:jc w:val="both"/>
        <w:rPr>
          <w:rFonts w:ascii="Gill Sans MT" w:hAnsi="Gill Sans MT"/>
          <w:b/>
        </w:rPr>
      </w:pPr>
      <w:r w:rsidRPr="005B11E1">
        <w:rPr>
          <w:rFonts w:ascii="Gill Sans MT" w:hAnsi="Gill Sans MT"/>
          <w:b/>
        </w:rPr>
        <w:t>B. La modulation du tarif de l’eau</w:t>
      </w:r>
    </w:p>
    <w:p w:rsidR="005B11E1" w:rsidRPr="005B11E1" w:rsidRDefault="005B11E1" w:rsidP="0074705A">
      <w:pPr>
        <w:jc w:val="both"/>
        <w:rPr>
          <w:rFonts w:ascii="Gill Sans MT" w:eastAsia="Times New Roman" w:hAnsi="Gill Sans MT" w:cs="Times New Roman"/>
          <w:color w:val="000000"/>
          <w:shd w:val="clear" w:color="auto" w:fill="FFFFFF"/>
          <w:lang w:eastAsia="fr-FR"/>
        </w:rPr>
      </w:pPr>
      <w:r w:rsidRPr="000D3C51">
        <w:rPr>
          <w:rFonts w:ascii="Gill Sans MT" w:eastAsia="Times New Roman" w:hAnsi="Gill Sans MT" w:cs="Times New Roman"/>
          <w:color w:val="000000"/>
          <w:shd w:val="clear" w:color="auto" w:fill="FFFFFF"/>
          <w:lang w:eastAsia="fr-FR"/>
        </w:rPr>
        <w:t xml:space="preserve">En application de ces principes généraux, et dans un contexte de fort afflux </w:t>
      </w:r>
      <w:r w:rsidRPr="00D63B85">
        <w:rPr>
          <w:rFonts w:ascii="Gill Sans MT" w:eastAsia="Times New Roman" w:hAnsi="Gill Sans MT" w:cs="Times New Roman"/>
          <w:color w:val="000000"/>
          <w:shd w:val="clear" w:color="auto" w:fill="FFFFFF"/>
          <w:lang w:eastAsia="fr-FR"/>
        </w:rPr>
        <w:t xml:space="preserve">touristique, </w:t>
      </w:r>
      <w:r w:rsidR="00D63B85">
        <w:rPr>
          <w:rFonts w:ascii="Gill Sans MT" w:eastAsia="Times New Roman" w:hAnsi="Gill Sans MT" w:cs="Times New Roman"/>
          <w:color w:val="000000"/>
          <w:shd w:val="clear" w:color="auto" w:fill="FFFFFF"/>
          <w:lang w:eastAsia="fr-FR"/>
        </w:rPr>
        <w:t xml:space="preserve">le Conseil d’Etat a admis, par exemples, </w:t>
      </w:r>
      <w:r w:rsidRPr="00D63B85">
        <w:rPr>
          <w:rFonts w:ascii="Gill Sans MT" w:eastAsia="Times New Roman" w:hAnsi="Gill Sans MT" w:cs="Times New Roman"/>
          <w:color w:val="000000"/>
          <w:shd w:val="clear" w:color="auto" w:fill="FFFFFF"/>
          <w:lang w:eastAsia="fr-FR"/>
        </w:rPr>
        <w:t xml:space="preserve">des différenciations tarifaires </w:t>
      </w:r>
      <w:r w:rsidRPr="000D3C51">
        <w:rPr>
          <w:rFonts w:ascii="Gill Sans MT" w:eastAsia="Times New Roman" w:hAnsi="Gill Sans MT" w:cs="Times New Roman"/>
          <w:color w:val="000000"/>
          <w:shd w:val="clear" w:color="auto" w:fill="FFFFFF"/>
          <w:lang w:eastAsia="fr-FR"/>
        </w:rPr>
        <w:t xml:space="preserve">en se fondant sur un critère matériel – les caractéristiques objectives du réseau du distribution de l’eau (CE, 31 juill. 2009, </w:t>
      </w:r>
      <w:r w:rsidRPr="000D3C51">
        <w:rPr>
          <w:rFonts w:ascii="Gill Sans MT" w:eastAsia="Times New Roman" w:hAnsi="Gill Sans MT" w:cs="Times New Roman"/>
          <w:i/>
          <w:iCs/>
          <w:color w:val="000000"/>
          <w:shd w:val="clear" w:color="auto" w:fill="FFFFFF"/>
          <w:lang w:eastAsia="fr-FR"/>
        </w:rPr>
        <w:t>Société Les sables d'or</w:t>
      </w:r>
      <w:r w:rsidR="00AD1EB8">
        <w:rPr>
          <w:rFonts w:ascii="Gill Sans MT" w:eastAsia="Times New Roman" w:hAnsi="Gill Sans MT" w:cs="Times New Roman"/>
          <w:i/>
          <w:iCs/>
          <w:color w:val="000000"/>
          <w:shd w:val="clear" w:color="auto" w:fill="FFFFFF"/>
          <w:lang w:eastAsia="fr-FR"/>
        </w:rPr>
        <w:t>)</w:t>
      </w:r>
      <w:r w:rsidRPr="000D3C51">
        <w:rPr>
          <w:rFonts w:ascii="Gill Sans MT" w:eastAsia="Times New Roman" w:hAnsi="Gill Sans MT" w:cs="Times New Roman"/>
          <w:color w:val="000000"/>
          <w:shd w:val="clear" w:color="auto" w:fill="FFFFFF"/>
          <w:lang w:eastAsia="fr-FR"/>
        </w:rPr>
        <w:t xml:space="preserve"> – </w:t>
      </w:r>
      <w:r w:rsidR="00D63B85">
        <w:rPr>
          <w:rFonts w:ascii="Gill Sans MT" w:eastAsia="Times New Roman" w:hAnsi="Gill Sans MT" w:cs="Times New Roman"/>
          <w:color w:val="000000"/>
          <w:shd w:val="clear" w:color="auto" w:fill="FFFFFF"/>
          <w:lang w:eastAsia="fr-FR"/>
        </w:rPr>
        <w:t>ou encore,</w:t>
      </w:r>
      <w:r w:rsidRPr="000D3C51">
        <w:rPr>
          <w:rFonts w:ascii="Gill Sans MT" w:eastAsia="Times New Roman" w:hAnsi="Gill Sans MT" w:cs="Times New Roman"/>
          <w:color w:val="000000"/>
          <w:shd w:val="clear" w:color="auto" w:fill="FFFFFF"/>
          <w:lang w:eastAsia="fr-FR"/>
        </w:rPr>
        <w:t xml:space="preserve"> sur un critère géogra</w:t>
      </w:r>
      <w:r w:rsidR="00D63B85">
        <w:rPr>
          <w:rFonts w:ascii="Gill Sans MT" w:eastAsia="Times New Roman" w:hAnsi="Gill Sans MT" w:cs="Times New Roman"/>
          <w:color w:val="000000"/>
          <w:shd w:val="clear" w:color="auto" w:fill="FFFFFF"/>
          <w:lang w:eastAsia="fr-FR"/>
        </w:rPr>
        <w:t xml:space="preserve">phique – tel </w:t>
      </w:r>
      <w:r w:rsidRPr="000D3C51">
        <w:rPr>
          <w:rFonts w:ascii="Gill Sans MT" w:eastAsia="Times New Roman" w:hAnsi="Gill Sans MT" w:cs="Times New Roman"/>
          <w:color w:val="000000"/>
          <w:shd w:val="clear" w:color="auto" w:fill="FFFFFF"/>
          <w:lang w:eastAsia="fr-FR"/>
        </w:rPr>
        <w:t xml:space="preserve">les zones les plus touristiques (CE, 26 juill. 1996, </w:t>
      </w:r>
      <w:r w:rsidRPr="000D3C51">
        <w:rPr>
          <w:rFonts w:ascii="Gill Sans MT" w:eastAsia="Times New Roman" w:hAnsi="Gill Sans MT" w:cs="Times New Roman"/>
          <w:i/>
          <w:iCs/>
          <w:color w:val="000000"/>
          <w:shd w:val="clear" w:color="auto" w:fill="FFFFFF"/>
          <w:lang w:eastAsia="fr-FR"/>
        </w:rPr>
        <w:t>Association </w:t>
      </w:r>
      <w:r w:rsidRPr="000D3C51">
        <w:rPr>
          <w:rFonts w:ascii="Gill Sans MT" w:eastAsia="Times New Roman" w:hAnsi="Gill Sans MT" w:cs="Times New Roman"/>
          <w:bCs/>
          <w:i/>
          <w:iCs/>
          <w:color w:val="000000"/>
          <w:shd w:val="clear" w:color="auto" w:fill="FFFFFF"/>
          <w:lang w:eastAsia="fr-FR"/>
        </w:rPr>
        <w:t>Narbonne</w:t>
      </w:r>
      <w:r w:rsidRPr="000D3C51">
        <w:rPr>
          <w:rFonts w:ascii="Gill Sans MT" w:eastAsia="Times New Roman" w:hAnsi="Gill Sans MT" w:cs="Times New Roman"/>
          <w:i/>
          <w:iCs/>
          <w:color w:val="000000"/>
          <w:shd w:val="clear" w:color="auto" w:fill="FFFFFF"/>
          <w:lang w:eastAsia="fr-FR"/>
        </w:rPr>
        <w:t> Liberté 89 et Bonnes</w:t>
      </w:r>
      <w:r w:rsidRPr="000D3C51">
        <w:rPr>
          <w:rFonts w:ascii="Gill Sans MT" w:eastAsia="Times New Roman" w:hAnsi="Gill Sans MT" w:cs="Times New Roman"/>
          <w:color w:val="000000"/>
          <w:shd w:val="clear" w:color="auto" w:fill="FFFFFF"/>
          <w:lang w:eastAsia="fr-FR"/>
        </w:rPr>
        <w:t xml:space="preserve">). </w:t>
      </w:r>
    </w:p>
    <w:p w:rsidR="00260EB4" w:rsidRDefault="00260EB4" w:rsidP="005B11E1">
      <w:pPr>
        <w:jc w:val="both"/>
        <w:rPr>
          <w:rFonts w:ascii="Gill Sans MT" w:hAnsi="Gill Sans MT"/>
          <w:b/>
        </w:rPr>
      </w:pPr>
    </w:p>
    <w:p w:rsidR="005B11E1" w:rsidRPr="005B11E1" w:rsidRDefault="005B11E1" w:rsidP="005B11E1">
      <w:pPr>
        <w:jc w:val="both"/>
        <w:rPr>
          <w:rFonts w:ascii="Gill Sans MT" w:hAnsi="Gill Sans MT"/>
          <w:b/>
        </w:rPr>
      </w:pPr>
      <w:r>
        <w:rPr>
          <w:rFonts w:ascii="Gill Sans MT" w:hAnsi="Gill Sans MT"/>
          <w:b/>
        </w:rPr>
        <w:lastRenderedPageBreak/>
        <w:t>C.</w:t>
      </w:r>
      <w:r w:rsidRPr="005B11E1">
        <w:rPr>
          <w:rFonts w:ascii="Gill Sans MT" w:hAnsi="Gill Sans MT"/>
          <w:b/>
        </w:rPr>
        <w:t xml:space="preserve"> La modulation du tarif de l’</w:t>
      </w:r>
      <w:r>
        <w:rPr>
          <w:rFonts w:ascii="Gill Sans MT" w:hAnsi="Gill Sans MT"/>
          <w:b/>
        </w:rPr>
        <w:t>assainissement</w:t>
      </w:r>
    </w:p>
    <w:p w:rsidR="00D3415D" w:rsidRPr="00585879" w:rsidRDefault="00D3415D" w:rsidP="00D3415D">
      <w:pPr>
        <w:jc w:val="both"/>
        <w:rPr>
          <w:rFonts w:ascii="Gill Sans MT" w:hAnsi="Gill Sans MT"/>
        </w:rPr>
      </w:pPr>
      <w:r>
        <w:rPr>
          <w:rFonts w:ascii="Gill Sans MT" w:hAnsi="Gill Sans MT"/>
        </w:rPr>
        <w:t xml:space="preserve">Le Conseil d’Etat avait admis, sans référence aux principes généraux, </w:t>
      </w:r>
      <w:r w:rsidRPr="00D145F6">
        <w:rPr>
          <w:rFonts w:ascii="Gill Sans MT" w:hAnsi="Gill Sans MT"/>
        </w:rPr>
        <w:t>la possibilité d’instituer un tarif dégressif, en prévoyant une part fixe et une par</w:t>
      </w:r>
      <w:r>
        <w:rPr>
          <w:rFonts w:ascii="Gill Sans MT" w:hAnsi="Gill Sans MT"/>
        </w:rPr>
        <w:t xml:space="preserve">tie variable pour la redevance, </w:t>
      </w:r>
      <w:r w:rsidRPr="00D145F6">
        <w:rPr>
          <w:rFonts w:ascii="Gill Sans MT" w:hAnsi="Gill Sans MT"/>
        </w:rPr>
        <w:t>(</w:t>
      </w:r>
      <w:r w:rsidRPr="00D145F6">
        <w:rPr>
          <w:rFonts w:ascii="Gill Sans MT" w:eastAsia="Times New Roman" w:hAnsi="Gill Sans MT" w:cs="Times New Roman"/>
          <w:color w:val="000000"/>
          <w:shd w:val="clear" w:color="auto" w:fill="FFFFFF"/>
          <w:lang w:eastAsia="fr-FR"/>
        </w:rPr>
        <w:t xml:space="preserve">CE, 17 oct. 2003, </w:t>
      </w:r>
      <w:r w:rsidRPr="00D145F6">
        <w:rPr>
          <w:rFonts w:ascii="Gill Sans MT" w:eastAsia="Times New Roman" w:hAnsi="Gill Sans MT" w:cs="Times New Roman"/>
          <w:i/>
          <w:iCs/>
          <w:color w:val="000000"/>
          <w:shd w:val="clear" w:color="auto" w:fill="FFFFFF"/>
          <w:lang w:eastAsia="fr-FR"/>
        </w:rPr>
        <w:t xml:space="preserve">Syndicat des copropriétaires </w:t>
      </w:r>
      <w:bookmarkStart w:id="2" w:name="_GoBack"/>
      <w:bookmarkEnd w:id="2"/>
      <w:r w:rsidRPr="00D145F6">
        <w:rPr>
          <w:rFonts w:ascii="Gill Sans MT" w:eastAsia="Times New Roman" w:hAnsi="Gill Sans MT" w:cs="Times New Roman"/>
          <w:i/>
          <w:iCs/>
          <w:color w:val="000000"/>
          <w:shd w:val="clear" w:color="auto" w:fill="FFFFFF"/>
          <w:lang w:eastAsia="fr-FR"/>
        </w:rPr>
        <w:t>de la résidence Atlantis</w:t>
      </w:r>
      <w:r>
        <w:rPr>
          <w:rFonts w:ascii="Gill Sans MT" w:eastAsia="Times New Roman" w:hAnsi="Gill Sans MT" w:cs="Times New Roman"/>
          <w:color w:val="000000"/>
          <w:shd w:val="clear" w:color="auto" w:fill="FFFFFF"/>
          <w:lang w:eastAsia="fr-FR"/>
        </w:rPr>
        <w:t xml:space="preserve">). </w:t>
      </w:r>
    </w:p>
    <w:p w:rsidR="00D3415D" w:rsidRDefault="00D3415D" w:rsidP="00D63B85">
      <w:pPr>
        <w:jc w:val="both"/>
        <w:rPr>
          <w:rFonts w:ascii="Gill Sans MT" w:hAnsi="Gill Sans MT"/>
          <w:color w:val="000000"/>
          <w:shd w:val="clear" w:color="auto" w:fill="FFFFFF"/>
        </w:rPr>
      </w:pPr>
      <w:r>
        <w:rPr>
          <w:rFonts w:ascii="Gill Sans MT" w:eastAsia="Times New Roman" w:hAnsi="Gill Sans MT" w:cs="Times New Roman"/>
          <w:color w:val="000000"/>
          <w:shd w:val="clear" w:color="auto" w:fill="FFFFFF"/>
          <w:lang w:eastAsia="fr-FR"/>
        </w:rPr>
        <w:t xml:space="preserve">Un </w:t>
      </w:r>
      <w:r w:rsidR="00311FB5" w:rsidRPr="00D63B85">
        <w:rPr>
          <w:rFonts w:ascii="Gill Sans MT" w:eastAsia="Times New Roman" w:hAnsi="Gill Sans MT" w:cs="Times New Roman"/>
          <w:color w:val="000000"/>
          <w:shd w:val="clear" w:color="auto" w:fill="FFFFFF"/>
          <w:lang w:eastAsia="fr-FR"/>
        </w:rPr>
        <w:t>arrêt récent de la Cour d’appel</w:t>
      </w:r>
      <w:r w:rsidR="005B11E1" w:rsidRPr="00D63B85">
        <w:rPr>
          <w:rFonts w:ascii="Gill Sans MT" w:eastAsia="Times New Roman" w:hAnsi="Gill Sans MT" w:cs="Times New Roman"/>
          <w:color w:val="000000"/>
          <w:shd w:val="clear" w:color="auto" w:fill="FFFFFF"/>
          <w:lang w:eastAsia="fr-FR"/>
        </w:rPr>
        <w:t xml:space="preserve"> </w:t>
      </w:r>
      <w:r>
        <w:rPr>
          <w:rFonts w:ascii="Gill Sans MT" w:eastAsia="Times New Roman" w:hAnsi="Gill Sans MT" w:cs="Times New Roman"/>
          <w:color w:val="000000"/>
          <w:shd w:val="clear" w:color="auto" w:fill="FFFFFF"/>
          <w:lang w:eastAsia="fr-FR"/>
        </w:rPr>
        <w:t xml:space="preserve">a fait application des principes généraux en matière </w:t>
      </w:r>
      <w:proofErr w:type="gramStart"/>
      <w:r w:rsidR="00096153" w:rsidRPr="00D63B85">
        <w:rPr>
          <w:rFonts w:ascii="Gill Sans MT" w:hAnsi="Gill Sans MT"/>
          <w:color w:val="000000"/>
          <w:shd w:val="clear" w:color="auto" w:fill="FFFFFF"/>
        </w:rPr>
        <w:t>d'assainissement</w:t>
      </w:r>
      <w:r w:rsidR="002A5371">
        <w:rPr>
          <w:rFonts w:ascii="Gill Sans MT" w:hAnsi="Gill Sans MT" w:cs="Calibri"/>
          <w:lang w:eastAsia="fr-FR"/>
        </w:rPr>
        <w:t>:</w:t>
      </w:r>
      <w:proofErr w:type="gramEnd"/>
      <w:r w:rsidR="002A5371">
        <w:rPr>
          <w:rFonts w:ascii="Gill Sans MT" w:hAnsi="Gill Sans MT" w:cs="Calibri"/>
          <w:lang w:eastAsia="fr-FR"/>
        </w:rPr>
        <w:t xml:space="preserve"> </w:t>
      </w:r>
      <w:r w:rsidR="00311FB5" w:rsidRPr="000D3C51">
        <w:rPr>
          <w:rFonts w:ascii="Gill Sans MT" w:hAnsi="Gill Sans MT" w:cs="Calibri"/>
          <w:lang w:eastAsia="fr-FR"/>
        </w:rPr>
        <w:t xml:space="preserve">les </w:t>
      </w:r>
      <w:r w:rsidR="00096153" w:rsidRPr="000D3C51">
        <w:rPr>
          <w:rFonts w:ascii="Gill Sans MT" w:hAnsi="Gill Sans MT"/>
          <w:color w:val="000000"/>
          <w:shd w:val="clear" w:color="auto" w:fill="FFFFFF"/>
        </w:rPr>
        <w:t>spécificités découlant des contraintes estivales du service d'assainissement, tenant au dimensionnement spécifique de la station d'épuration pour faire face à l'afflux touristique et aux analyses et normes imposées spéciale</w:t>
      </w:r>
      <w:r w:rsidR="002A5371">
        <w:rPr>
          <w:rFonts w:ascii="Gill Sans MT" w:hAnsi="Gill Sans MT"/>
          <w:color w:val="000000"/>
          <w:shd w:val="clear" w:color="auto" w:fill="FFFFFF"/>
        </w:rPr>
        <w:t xml:space="preserve">ment pendant cette période peuvent </w:t>
      </w:r>
      <w:r w:rsidR="00096153" w:rsidRPr="000D3C51">
        <w:rPr>
          <w:rFonts w:ascii="Gill Sans MT" w:hAnsi="Gill Sans MT"/>
          <w:color w:val="000000"/>
          <w:shd w:val="clear" w:color="auto" w:fill="FFFFFF"/>
        </w:rPr>
        <w:t>caractériser une différence de situation</w:t>
      </w:r>
      <w:r>
        <w:rPr>
          <w:rFonts w:ascii="Gill Sans MT" w:hAnsi="Gill Sans MT"/>
          <w:color w:val="000000"/>
          <w:shd w:val="clear" w:color="auto" w:fill="FFFFFF"/>
        </w:rPr>
        <w:t xml:space="preserve"> </w:t>
      </w:r>
      <w:r w:rsidRPr="000D3C51">
        <w:rPr>
          <w:rFonts w:ascii="Gill Sans MT" w:hAnsi="Gill Sans MT"/>
          <w:color w:val="000000"/>
          <w:shd w:val="clear" w:color="auto" w:fill="FFFFFF"/>
        </w:rPr>
        <w:t>(CA</w:t>
      </w:r>
      <w:r w:rsidR="00260EB4">
        <w:rPr>
          <w:rFonts w:ascii="Gill Sans MT" w:hAnsi="Gill Sans MT"/>
          <w:color w:val="000000"/>
          <w:shd w:val="clear" w:color="auto" w:fill="FFFFFF"/>
        </w:rPr>
        <w:t>A</w:t>
      </w:r>
      <w:r w:rsidRPr="000D3C51">
        <w:rPr>
          <w:rFonts w:ascii="Gill Sans MT" w:hAnsi="Gill Sans MT"/>
          <w:color w:val="000000"/>
          <w:shd w:val="clear" w:color="auto" w:fill="FFFFFF"/>
        </w:rPr>
        <w:t xml:space="preserve"> Lyon, 29 juin 2017, </w:t>
      </w:r>
      <w:r w:rsidRPr="000D3C51">
        <w:rPr>
          <w:rFonts w:ascii="Gill Sans MT" w:hAnsi="Gill Sans MT" w:cs="Calibri"/>
          <w:lang w:eastAsia="fr-FR"/>
        </w:rPr>
        <w:t>n° 16LY03957</w:t>
      </w:r>
      <w:r>
        <w:rPr>
          <w:rFonts w:ascii="Gill Sans MT" w:hAnsi="Gill Sans MT"/>
          <w:color w:val="000000"/>
          <w:shd w:val="clear" w:color="auto" w:fill="FFFFFF"/>
        </w:rPr>
        <w:t xml:space="preserve">). </w:t>
      </w:r>
      <w:r w:rsidR="00096153" w:rsidRPr="000D3C51">
        <w:rPr>
          <w:rFonts w:ascii="Gill Sans MT" w:hAnsi="Gill Sans MT"/>
          <w:color w:val="000000"/>
          <w:shd w:val="clear" w:color="auto" w:fill="FFFFFF"/>
        </w:rPr>
        <w:t xml:space="preserve"> </w:t>
      </w:r>
      <w:bookmarkEnd w:id="1"/>
    </w:p>
    <w:p w:rsidR="00B80C66" w:rsidRPr="00D145F6" w:rsidRDefault="007E448D" w:rsidP="00EA30B5">
      <w:pPr>
        <w:pBdr>
          <w:bottom w:val="single" w:sz="12" w:space="1" w:color="5B9BD5" w:themeColor="accent5"/>
        </w:pBdr>
        <w:jc w:val="both"/>
        <w:rPr>
          <w:rFonts w:ascii="Gill Sans MT" w:hAnsi="Gill Sans MT"/>
          <w:b/>
          <w:color w:val="5B9BD5" w:themeColor="accent5"/>
        </w:rPr>
      </w:pPr>
      <w:r w:rsidRPr="00D145F6">
        <w:rPr>
          <w:rFonts w:ascii="Gill Sans MT" w:hAnsi="Gill Sans MT"/>
          <w:b/>
          <w:color w:val="5B9BD5" w:themeColor="accent5"/>
        </w:rPr>
        <w:t>Annexe :</w:t>
      </w:r>
      <w:r w:rsidR="00B80C66" w:rsidRPr="00D145F6">
        <w:rPr>
          <w:rFonts w:ascii="Gill Sans MT" w:hAnsi="Gill Sans MT"/>
          <w:b/>
          <w:color w:val="5B9BD5" w:themeColor="accent5"/>
        </w:rPr>
        <w:t xml:space="preserve"> Le point sur l’évolution des compétences dans le sillage de la loi NOTRE</w:t>
      </w:r>
    </w:p>
    <w:tbl>
      <w:tblPr>
        <w:tblStyle w:val="Grilledutableau"/>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1"/>
        <w:gridCol w:w="3889"/>
        <w:gridCol w:w="3969"/>
      </w:tblGrid>
      <w:tr w:rsidR="00B80C66" w:rsidRPr="00D145F6" w:rsidTr="00311E6D">
        <w:tc>
          <w:tcPr>
            <w:tcW w:w="1771" w:type="dxa"/>
          </w:tcPr>
          <w:p w:rsidR="00B80C66" w:rsidRPr="00D145F6" w:rsidRDefault="00B80C66" w:rsidP="009F0772">
            <w:pPr>
              <w:rPr>
                <w:rFonts w:ascii="Gill Sans MT" w:hAnsi="Gill Sans MT"/>
                <w:sz w:val="20"/>
                <w:szCs w:val="20"/>
              </w:rPr>
            </w:pPr>
          </w:p>
        </w:tc>
        <w:tc>
          <w:tcPr>
            <w:tcW w:w="3889" w:type="dxa"/>
            <w:shd w:val="clear" w:color="auto" w:fill="D9E2F3" w:themeFill="accent1" w:themeFillTint="33"/>
          </w:tcPr>
          <w:p w:rsidR="00B80C66" w:rsidRPr="00D145F6" w:rsidRDefault="00B80C66" w:rsidP="009F0772">
            <w:pPr>
              <w:jc w:val="center"/>
              <w:rPr>
                <w:rFonts w:ascii="Gill Sans MT" w:hAnsi="Gill Sans MT"/>
                <w:b/>
                <w:color w:val="2F5496" w:themeColor="accent1" w:themeShade="BF"/>
                <w:sz w:val="20"/>
                <w:szCs w:val="20"/>
              </w:rPr>
            </w:pPr>
            <w:r w:rsidRPr="00D145F6">
              <w:rPr>
                <w:rFonts w:ascii="Gill Sans MT" w:hAnsi="Gill Sans MT"/>
                <w:b/>
                <w:color w:val="2F5496" w:themeColor="accent1" w:themeShade="BF"/>
                <w:sz w:val="20"/>
                <w:szCs w:val="20"/>
              </w:rPr>
              <w:t xml:space="preserve">Communautés </w:t>
            </w:r>
          </w:p>
          <w:p w:rsidR="00B80C66" w:rsidRPr="00D145F6" w:rsidRDefault="00B80C66" w:rsidP="009F0772">
            <w:pPr>
              <w:jc w:val="center"/>
              <w:rPr>
                <w:rFonts w:ascii="Gill Sans MT" w:hAnsi="Gill Sans MT"/>
                <w:b/>
                <w:sz w:val="20"/>
                <w:szCs w:val="20"/>
              </w:rPr>
            </w:pPr>
            <w:proofErr w:type="gramStart"/>
            <w:r w:rsidRPr="00D145F6">
              <w:rPr>
                <w:rFonts w:ascii="Gill Sans MT" w:hAnsi="Gill Sans MT"/>
                <w:b/>
                <w:color w:val="2F5496" w:themeColor="accent1" w:themeShade="BF"/>
                <w:sz w:val="20"/>
                <w:szCs w:val="20"/>
              </w:rPr>
              <w:t>de</w:t>
            </w:r>
            <w:proofErr w:type="gramEnd"/>
            <w:r w:rsidRPr="00D145F6">
              <w:rPr>
                <w:rFonts w:ascii="Gill Sans MT" w:hAnsi="Gill Sans MT"/>
                <w:b/>
                <w:color w:val="2F5496" w:themeColor="accent1" w:themeShade="BF"/>
                <w:sz w:val="20"/>
                <w:szCs w:val="20"/>
              </w:rPr>
              <w:t xml:space="preserve"> communes</w:t>
            </w:r>
          </w:p>
        </w:tc>
        <w:tc>
          <w:tcPr>
            <w:tcW w:w="3969" w:type="dxa"/>
            <w:shd w:val="clear" w:color="auto" w:fill="FBE4D5" w:themeFill="accent2" w:themeFillTint="33"/>
          </w:tcPr>
          <w:p w:rsidR="00B80C66" w:rsidRPr="00D145F6" w:rsidRDefault="00B80C66" w:rsidP="009F0772">
            <w:pPr>
              <w:jc w:val="center"/>
              <w:rPr>
                <w:rFonts w:ascii="Gill Sans MT" w:hAnsi="Gill Sans MT"/>
                <w:b/>
                <w:sz w:val="20"/>
                <w:szCs w:val="20"/>
              </w:rPr>
            </w:pPr>
            <w:r w:rsidRPr="00D145F6">
              <w:rPr>
                <w:rFonts w:ascii="Gill Sans MT" w:hAnsi="Gill Sans MT"/>
                <w:b/>
                <w:color w:val="833C0B" w:themeColor="accent2" w:themeShade="80"/>
                <w:sz w:val="20"/>
                <w:szCs w:val="20"/>
              </w:rPr>
              <w:t>Communautés d’agglomérations</w:t>
            </w:r>
          </w:p>
        </w:tc>
      </w:tr>
      <w:tr w:rsidR="00B80C66" w:rsidRPr="00D145F6" w:rsidTr="00311E6D">
        <w:trPr>
          <w:trHeight w:val="1124"/>
        </w:trPr>
        <w:tc>
          <w:tcPr>
            <w:tcW w:w="1771" w:type="dxa"/>
          </w:tcPr>
          <w:p w:rsidR="00B80C66" w:rsidRPr="00D145F6" w:rsidRDefault="00B80C66" w:rsidP="009F0772">
            <w:pPr>
              <w:jc w:val="center"/>
              <w:rPr>
                <w:rFonts w:ascii="Gill Sans MT" w:hAnsi="Gill Sans MT"/>
                <w:b/>
                <w:sz w:val="20"/>
                <w:szCs w:val="20"/>
              </w:rPr>
            </w:pPr>
            <w:r w:rsidRPr="00D145F6">
              <w:rPr>
                <w:rFonts w:ascii="Gill Sans MT" w:hAnsi="Gill Sans MT"/>
                <w:b/>
                <w:sz w:val="20"/>
                <w:szCs w:val="20"/>
              </w:rPr>
              <w:t>Compétences obligatoires après la loi NOTRE</w:t>
            </w:r>
          </w:p>
          <w:p w:rsidR="00B80C66" w:rsidRPr="00D145F6" w:rsidRDefault="00B80C66" w:rsidP="009F0772">
            <w:pPr>
              <w:jc w:val="center"/>
              <w:rPr>
                <w:rFonts w:ascii="Gill Sans MT" w:hAnsi="Gill Sans MT"/>
                <w:b/>
                <w:sz w:val="20"/>
                <w:szCs w:val="20"/>
              </w:rPr>
            </w:pPr>
            <w:r w:rsidRPr="00D145F6">
              <w:rPr>
                <w:rFonts w:ascii="Gill Sans MT" w:hAnsi="Gill Sans MT"/>
                <w:b/>
                <w:sz w:val="20"/>
                <w:szCs w:val="20"/>
              </w:rPr>
              <w:t>_</w:t>
            </w:r>
          </w:p>
          <w:p w:rsidR="00B80C66" w:rsidRPr="00D145F6" w:rsidRDefault="00B80C66" w:rsidP="009F0772">
            <w:pPr>
              <w:jc w:val="center"/>
              <w:rPr>
                <w:rFonts w:ascii="Gill Sans MT" w:hAnsi="Gill Sans MT"/>
                <w:b/>
                <w:sz w:val="20"/>
                <w:szCs w:val="20"/>
              </w:rPr>
            </w:pPr>
          </w:p>
          <w:p w:rsidR="00B80C66" w:rsidRPr="00D145F6" w:rsidRDefault="00B80C66" w:rsidP="009F0772">
            <w:pPr>
              <w:jc w:val="center"/>
              <w:rPr>
                <w:rFonts w:ascii="Gill Sans MT" w:hAnsi="Gill Sans MT"/>
                <w:b/>
                <w:sz w:val="20"/>
                <w:szCs w:val="20"/>
              </w:rPr>
            </w:pPr>
            <w:r w:rsidRPr="00D145F6">
              <w:rPr>
                <w:rFonts w:ascii="Gill Sans MT" w:hAnsi="Gill Sans MT"/>
                <w:b/>
                <w:color w:val="FF0000"/>
                <w:sz w:val="20"/>
                <w:szCs w:val="20"/>
              </w:rPr>
              <w:t>Rouge : les compétences obligatoires ajoutées par la loi NOTRE</w:t>
            </w:r>
          </w:p>
        </w:tc>
        <w:tc>
          <w:tcPr>
            <w:tcW w:w="3889" w:type="dxa"/>
          </w:tcPr>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rPr>
            </w:pPr>
            <w:r w:rsidRPr="00D145F6">
              <w:rPr>
                <w:rFonts w:ascii="Gill Sans MT" w:hAnsi="Gill Sans MT" w:cs="Arial"/>
                <w:color w:val="2F5496" w:themeColor="accent1" w:themeShade="BF"/>
                <w:sz w:val="20"/>
                <w:szCs w:val="20"/>
              </w:rPr>
              <w:t>1° Aménagement de l'espace pour la conduite d'actions d'intérêt communautaire ; schéma de cohérence </w:t>
            </w:r>
            <w:r w:rsidRPr="00D145F6">
              <w:rPr>
                <w:rStyle w:val="surlignage"/>
                <w:rFonts w:ascii="Gill Sans MT" w:hAnsi="Gill Sans MT" w:cs="Arial"/>
                <w:bCs/>
                <w:color w:val="2F5496" w:themeColor="accent1" w:themeShade="BF"/>
                <w:sz w:val="20"/>
                <w:szCs w:val="20"/>
                <w:shd w:val="clear" w:color="auto" w:fill="FFFFFF" w:themeFill="background1"/>
              </w:rPr>
              <w:t>territoriale</w:t>
            </w:r>
            <w:r w:rsidRPr="00D145F6">
              <w:rPr>
                <w:rFonts w:ascii="Gill Sans MT" w:hAnsi="Gill Sans MT" w:cs="Arial"/>
                <w:color w:val="2F5496" w:themeColor="accent1" w:themeShade="BF"/>
                <w:sz w:val="20"/>
                <w:szCs w:val="20"/>
              </w:rPr>
              <w:t xml:space="preserve"> et schéma de secteur ; plan local d'urbanisme, document d'urbanisme en tenant lieu et carte communale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rPr>
            </w:pPr>
            <w:r w:rsidRPr="00D145F6">
              <w:rPr>
                <w:rFonts w:ascii="Gill Sans MT" w:hAnsi="Gill Sans MT" w:cs="Arial"/>
                <w:color w:val="2F5496" w:themeColor="accent1" w:themeShade="BF"/>
                <w:sz w:val="20"/>
                <w:szCs w:val="20"/>
              </w:rPr>
              <w:t xml:space="preserve">2° Actions de développement économique dans les conditions ; création, aménagement, entretien et gestion de zones d'activité industrielle, commerciale, tertiaire, artisanale, touristique, portuaire ou aéroportuaire ; politique locale du commerce et soutien aux activités commerciales d'intérêt communautaire ; promotion du tourisme, dont la création d'offices de tourisme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rPr>
            </w:pPr>
            <w:r w:rsidRPr="00D145F6">
              <w:rPr>
                <w:rFonts w:ascii="Gill Sans MT" w:hAnsi="Gill Sans MT" w:cs="Arial"/>
                <w:color w:val="2F5496" w:themeColor="accent1" w:themeShade="BF"/>
                <w:sz w:val="20"/>
                <w:szCs w:val="20"/>
              </w:rPr>
              <w:t xml:space="preserve">3° (Ajouté le 1er janvier 2018)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FF0000"/>
                <w:sz w:val="20"/>
                <w:szCs w:val="20"/>
              </w:rPr>
            </w:pPr>
            <w:r w:rsidRPr="00D145F6">
              <w:rPr>
                <w:rFonts w:ascii="Gill Sans MT" w:hAnsi="Gill Sans MT" w:cs="Arial"/>
                <w:color w:val="FF0000"/>
                <w:sz w:val="20"/>
                <w:szCs w:val="20"/>
              </w:rPr>
              <w:t xml:space="preserve">4° Aménagement, entretien et gestion des aires d'accueil des gens du voyage et des terrains familiaux locatifs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FF0000"/>
                <w:sz w:val="20"/>
                <w:szCs w:val="20"/>
              </w:rPr>
            </w:pPr>
            <w:r w:rsidRPr="00D145F6">
              <w:rPr>
                <w:rFonts w:ascii="Gill Sans MT" w:hAnsi="Gill Sans MT" w:cs="Arial"/>
                <w:color w:val="FF0000"/>
                <w:sz w:val="20"/>
                <w:szCs w:val="20"/>
              </w:rPr>
              <w:t>5° Collecte et traitement des déchets des ménages et déchets assimilés</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FF0000"/>
                <w:sz w:val="20"/>
                <w:szCs w:val="20"/>
              </w:rPr>
            </w:pPr>
          </w:p>
          <w:p w:rsidR="00B80C66" w:rsidRPr="00D145F6" w:rsidRDefault="00B80C66" w:rsidP="009F0772">
            <w:pPr>
              <w:pStyle w:val="NormalWeb"/>
              <w:shd w:val="clear" w:color="auto" w:fill="FFFFFF"/>
              <w:spacing w:before="180" w:after="180"/>
              <w:rPr>
                <w:rFonts w:ascii="Gill Sans MT" w:hAnsi="Gill Sans MT" w:cs="Arial"/>
                <w:b/>
                <w:color w:val="FF0000"/>
                <w:sz w:val="20"/>
                <w:szCs w:val="20"/>
              </w:rPr>
            </w:pPr>
            <w:r w:rsidRPr="00D145F6">
              <w:rPr>
                <w:rFonts w:ascii="Gill Sans MT" w:hAnsi="Gill Sans MT" w:cs="Arial"/>
                <w:b/>
                <w:color w:val="FF0000"/>
                <w:sz w:val="20"/>
                <w:szCs w:val="20"/>
              </w:rPr>
              <w:t>=&gt; 6° Assainissement (à partir du 1er janvier 2020)</w:t>
            </w:r>
          </w:p>
          <w:p w:rsidR="00B80C66" w:rsidRPr="00D145F6" w:rsidRDefault="00B80C66" w:rsidP="009F0772">
            <w:pPr>
              <w:pStyle w:val="NormalWeb"/>
              <w:shd w:val="clear" w:color="auto" w:fill="FFFFFF"/>
              <w:spacing w:before="180" w:beforeAutospacing="0" w:after="180" w:afterAutospacing="0"/>
              <w:rPr>
                <w:rFonts w:ascii="Gill Sans MT" w:hAnsi="Gill Sans MT" w:cs="Arial"/>
                <w:b/>
                <w:color w:val="FF0000"/>
                <w:sz w:val="20"/>
                <w:szCs w:val="20"/>
              </w:rPr>
            </w:pPr>
            <w:r w:rsidRPr="00D145F6">
              <w:rPr>
                <w:rFonts w:ascii="Gill Sans MT" w:hAnsi="Gill Sans MT" w:cs="Arial"/>
                <w:b/>
                <w:color w:val="FF0000"/>
                <w:sz w:val="20"/>
                <w:szCs w:val="20"/>
              </w:rPr>
              <w:t>=&gt; 7° Eau (à partir du 1</w:t>
            </w:r>
            <w:r w:rsidRPr="00D145F6">
              <w:rPr>
                <w:rFonts w:ascii="Gill Sans MT" w:hAnsi="Gill Sans MT" w:cs="Arial"/>
                <w:b/>
                <w:color w:val="FF0000"/>
                <w:sz w:val="20"/>
                <w:szCs w:val="20"/>
                <w:vertAlign w:val="superscript"/>
              </w:rPr>
              <w:t>er</w:t>
            </w:r>
            <w:r w:rsidRPr="00D145F6">
              <w:rPr>
                <w:rFonts w:ascii="Gill Sans MT" w:hAnsi="Gill Sans MT" w:cs="Arial"/>
                <w:b/>
                <w:color w:val="FF0000"/>
                <w:sz w:val="20"/>
                <w:szCs w:val="20"/>
              </w:rPr>
              <w:t xml:space="preserve"> janvier 2020)</w:t>
            </w:r>
          </w:p>
          <w:p w:rsidR="00B80C66" w:rsidRPr="00D145F6" w:rsidRDefault="00B80C66" w:rsidP="009F0772">
            <w:pPr>
              <w:rPr>
                <w:rFonts w:ascii="Gill Sans MT" w:hAnsi="Gill Sans MT"/>
                <w:sz w:val="20"/>
                <w:szCs w:val="20"/>
              </w:rPr>
            </w:pPr>
          </w:p>
        </w:tc>
        <w:tc>
          <w:tcPr>
            <w:tcW w:w="3969" w:type="dxa"/>
          </w:tcPr>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rPr>
            </w:pPr>
            <w:r w:rsidRPr="00D145F6">
              <w:rPr>
                <w:rFonts w:ascii="Gill Sans MT" w:hAnsi="Gill Sans MT" w:cs="Arial"/>
                <w:color w:val="833C0B" w:themeColor="accent2" w:themeShade="80"/>
                <w:sz w:val="20"/>
                <w:szCs w:val="20"/>
              </w:rPr>
              <w:t xml:space="preserve">1° Actions de développement économique ; création, aménagement, entretien et gestion de zones d'activité industrielle, commerciale, tertiaire, artisanale, touristique, portuaire ou aéroportuaire ; politique locale du commerce et soutien aux activités commerciales d'intérêt communautaire ; promotion du tourisme, dont la création d'offices de tourisme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rPr>
            </w:pPr>
            <w:r w:rsidRPr="00D145F6">
              <w:rPr>
                <w:rFonts w:ascii="Gill Sans MT" w:hAnsi="Gill Sans MT" w:cs="Arial"/>
                <w:color w:val="833C0B" w:themeColor="accent2" w:themeShade="80"/>
                <w:sz w:val="20"/>
                <w:szCs w:val="20"/>
              </w:rPr>
              <w:t xml:space="preserve">2° En matière d'aménagement de l'espace communautaire : schéma de cohérence territoriale et schéma de secteur ; plan local d'urbanisme, document d'urbanisme en tenant lieu et carte communale ; création et réalisation de zones d'aménagement concerté d'intérêt communautaire ; organisation de la mobilité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rPr>
            </w:pPr>
            <w:r w:rsidRPr="00D145F6">
              <w:rPr>
                <w:rFonts w:ascii="Gill Sans MT" w:hAnsi="Gill Sans MT" w:cs="Arial"/>
                <w:color w:val="833C0B" w:themeColor="accent2" w:themeShade="80"/>
                <w:sz w:val="20"/>
                <w:szCs w:val="20"/>
              </w:rPr>
              <w:t xml:space="preserve">3° En matière d'équilibre social de l'habitat : programme local de l'habitat ; politique du logement d'intérêt communautaire ; actions et aides financières en faveur du logement social d'intérêt communautaire ; réserves foncières pour la mise en œuvre de la politique communautaire d'équilibre social de l'habitat ; action, par des opérations d'intérêt communautaire, en faveur du logement des personnes défavorisées ; amélioration du parc immobilier bâti d'intérêt communautaire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rPr>
            </w:pPr>
            <w:r w:rsidRPr="00D145F6">
              <w:rPr>
                <w:rFonts w:ascii="Gill Sans MT" w:hAnsi="Gill Sans MT" w:cs="Arial"/>
                <w:color w:val="833C0B" w:themeColor="accent2" w:themeShade="80"/>
                <w:sz w:val="20"/>
                <w:szCs w:val="20"/>
              </w:rPr>
              <w:t>4° En matière de politique de la ville : élaboration du diagnostic du territoire et définition des orientations du contrat de ville ; animation et coordination des dispositifs contractuels de développement urbain, de développement local et d'insertion économique et sociale ainsi que des dispositifs locaux de prévention de la délinquance ; programmes d'actions définis dans le contrat de ville</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rPr>
            </w:pPr>
            <w:r w:rsidRPr="00D145F6">
              <w:rPr>
                <w:rFonts w:ascii="Gill Sans MT" w:hAnsi="Gill Sans MT" w:cs="Arial"/>
                <w:color w:val="833C0B" w:themeColor="accent2" w:themeShade="80"/>
                <w:sz w:val="20"/>
                <w:szCs w:val="20"/>
              </w:rPr>
              <w:lastRenderedPageBreak/>
              <w:t xml:space="preserve">5° (À venir au 1er janvier 2018)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FF0000"/>
                <w:sz w:val="20"/>
                <w:szCs w:val="20"/>
              </w:rPr>
            </w:pPr>
            <w:r w:rsidRPr="00D145F6">
              <w:rPr>
                <w:rFonts w:ascii="Gill Sans MT" w:hAnsi="Gill Sans MT" w:cs="Arial"/>
                <w:color w:val="FF0000"/>
                <w:sz w:val="20"/>
                <w:szCs w:val="20"/>
              </w:rPr>
              <w:t xml:space="preserve">6° En matière d'accueil des gens du voyage : aménagement, entretien et gestion des aires d'accueil et des terrains familiaux locatifs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FF0000"/>
                <w:sz w:val="20"/>
                <w:szCs w:val="20"/>
              </w:rPr>
            </w:pPr>
            <w:r w:rsidRPr="00D145F6">
              <w:rPr>
                <w:rFonts w:ascii="Gill Sans MT" w:hAnsi="Gill Sans MT" w:cs="Arial"/>
                <w:color w:val="FF0000"/>
                <w:sz w:val="20"/>
                <w:szCs w:val="20"/>
              </w:rPr>
              <w:t>7° Collecte et traitement des déchets des ménages et déchets assimilés</w:t>
            </w:r>
          </w:p>
        </w:tc>
      </w:tr>
      <w:tr w:rsidR="00B80C66" w:rsidRPr="00D145F6" w:rsidTr="00106AC8">
        <w:trPr>
          <w:trHeight w:val="8069"/>
        </w:trPr>
        <w:tc>
          <w:tcPr>
            <w:tcW w:w="1771" w:type="dxa"/>
          </w:tcPr>
          <w:p w:rsidR="00B80C66" w:rsidRPr="00D145F6" w:rsidRDefault="00B80C66" w:rsidP="009F0772">
            <w:pPr>
              <w:jc w:val="center"/>
              <w:rPr>
                <w:rFonts w:ascii="Gill Sans MT" w:hAnsi="Gill Sans MT"/>
                <w:b/>
                <w:sz w:val="20"/>
                <w:szCs w:val="20"/>
              </w:rPr>
            </w:pPr>
            <w:r w:rsidRPr="00D145F6">
              <w:rPr>
                <w:rFonts w:ascii="Gill Sans MT" w:hAnsi="Gill Sans MT"/>
                <w:b/>
                <w:sz w:val="20"/>
                <w:szCs w:val="20"/>
              </w:rPr>
              <w:lastRenderedPageBreak/>
              <w:t>Compétences optionnelles après la loi NOTRE</w:t>
            </w:r>
          </w:p>
          <w:p w:rsidR="00B80C66" w:rsidRPr="00D145F6" w:rsidRDefault="00B80C66" w:rsidP="009F0772">
            <w:pPr>
              <w:jc w:val="center"/>
              <w:rPr>
                <w:rFonts w:ascii="Gill Sans MT" w:hAnsi="Gill Sans MT"/>
                <w:b/>
                <w:sz w:val="20"/>
                <w:szCs w:val="20"/>
              </w:rPr>
            </w:pPr>
            <w:r w:rsidRPr="00D145F6">
              <w:rPr>
                <w:rFonts w:ascii="Gill Sans MT" w:hAnsi="Gill Sans MT"/>
                <w:b/>
                <w:sz w:val="20"/>
                <w:szCs w:val="20"/>
              </w:rPr>
              <w:t>_</w:t>
            </w:r>
          </w:p>
          <w:p w:rsidR="00B80C66" w:rsidRPr="00D145F6" w:rsidRDefault="00B80C66" w:rsidP="009F0772">
            <w:pPr>
              <w:rPr>
                <w:rFonts w:ascii="Gill Sans MT" w:hAnsi="Gill Sans MT"/>
                <w:sz w:val="20"/>
                <w:szCs w:val="20"/>
              </w:rPr>
            </w:pPr>
          </w:p>
          <w:p w:rsidR="00B80C66" w:rsidRPr="00D145F6" w:rsidRDefault="00B80C66" w:rsidP="009F0772">
            <w:pPr>
              <w:jc w:val="center"/>
              <w:rPr>
                <w:rFonts w:ascii="Gill Sans MT" w:hAnsi="Gill Sans MT"/>
                <w:sz w:val="20"/>
                <w:szCs w:val="20"/>
              </w:rPr>
            </w:pPr>
            <w:r w:rsidRPr="00D145F6">
              <w:rPr>
                <w:rFonts w:ascii="Gill Sans MT" w:hAnsi="Gill Sans MT"/>
                <w:b/>
                <w:color w:val="FF0000"/>
                <w:sz w:val="20"/>
                <w:szCs w:val="20"/>
              </w:rPr>
              <w:t>Rouge : les compétences optionnelles ajoutées par la loi NOTRE</w:t>
            </w:r>
          </w:p>
        </w:tc>
        <w:tc>
          <w:tcPr>
            <w:tcW w:w="3889" w:type="dxa"/>
          </w:tcPr>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u w:val="single"/>
              </w:rPr>
            </w:pPr>
            <w:r w:rsidRPr="00D145F6">
              <w:rPr>
                <w:rFonts w:ascii="Gill Sans MT" w:hAnsi="Gill Sans MT" w:cs="Arial"/>
                <w:color w:val="2F5496" w:themeColor="accent1" w:themeShade="BF"/>
                <w:sz w:val="20"/>
                <w:szCs w:val="20"/>
                <w:u w:val="single"/>
              </w:rPr>
              <w:t>Au moins 3 compétences parmi les 9 groupes suivants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rPr>
            </w:pPr>
            <w:r w:rsidRPr="00D145F6">
              <w:rPr>
                <w:rFonts w:ascii="Gill Sans MT" w:hAnsi="Gill Sans MT" w:cs="Arial"/>
                <w:color w:val="2F5496" w:themeColor="accent1" w:themeShade="BF"/>
                <w:sz w:val="20"/>
                <w:szCs w:val="20"/>
              </w:rPr>
              <w:t>1° Protection et mise en valeur de l'environnement</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rPr>
            </w:pPr>
            <w:r w:rsidRPr="00D145F6">
              <w:rPr>
                <w:rFonts w:ascii="Gill Sans MT" w:hAnsi="Gill Sans MT" w:cs="Arial"/>
                <w:color w:val="2F5496" w:themeColor="accent1" w:themeShade="BF"/>
                <w:sz w:val="20"/>
                <w:szCs w:val="20"/>
              </w:rPr>
              <w:t xml:space="preserve">2° Politique du logement et du cadre de vie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rPr>
            </w:pPr>
            <w:r w:rsidRPr="00D145F6">
              <w:rPr>
                <w:rFonts w:ascii="Gill Sans MT" w:hAnsi="Gill Sans MT" w:cs="Arial"/>
                <w:color w:val="2F5496" w:themeColor="accent1" w:themeShade="BF"/>
                <w:sz w:val="20"/>
                <w:szCs w:val="20"/>
              </w:rPr>
              <w:t xml:space="preserve">2° bis En matière de politique de la ville : élaboration du diagnostic du territoire et définition des orientations du contrat de ville ; animation et coordination des dispositifs contractuels de développement urbain, de développement local et d'insertion économique et sociale ainsi que des dispositifs locaux de prévention de la délinquance ; programmes d'actions définis dans le contrat de ville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rPr>
            </w:pPr>
            <w:r w:rsidRPr="00D145F6">
              <w:rPr>
                <w:rFonts w:ascii="Gill Sans MT" w:hAnsi="Gill Sans MT" w:cs="Arial"/>
                <w:color w:val="2F5496" w:themeColor="accent1" w:themeShade="BF"/>
                <w:sz w:val="20"/>
                <w:szCs w:val="20"/>
              </w:rPr>
              <w:t xml:space="preserve">3° Création, aménagement et entretien de la voirie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rPr>
            </w:pPr>
            <w:r w:rsidRPr="00D145F6">
              <w:rPr>
                <w:rFonts w:ascii="Gill Sans MT" w:hAnsi="Gill Sans MT" w:cs="Arial"/>
                <w:color w:val="2F5496" w:themeColor="accent1" w:themeShade="BF"/>
                <w:sz w:val="20"/>
                <w:szCs w:val="20"/>
              </w:rPr>
              <w:t xml:space="preserve">4° Construction, entretien et fonctionnement d'équipements culturels et sportifs d'intérêt communautaire et d'équipements de l'enseignement préélémentaire et élémentaire d'intérêt communautaire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2F5496" w:themeColor="accent1" w:themeShade="BF"/>
                <w:sz w:val="20"/>
                <w:szCs w:val="20"/>
              </w:rPr>
            </w:pPr>
            <w:r w:rsidRPr="00D145F6">
              <w:rPr>
                <w:rFonts w:ascii="Gill Sans MT" w:hAnsi="Gill Sans MT" w:cs="Arial"/>
                <w:color w:val="2F5496" w:themeColor="accent1" w:themeShade="BF"/>
                <w:sz w:val="20"/>
                <w:szCs w:val="20"/>
              </w:rPr>
              <w:t>5° Action sociale d'intérêt communautaire ;</w:t>
            </w:r>
          </w:p>
          <w:p w:rsidR="00B80C66" w:rsidRPr="00D145F6" w:rsidRDefault="00B80C66" w:rsidP="009F0772">
            <w:pPr>
              <w:pStyle w:val="NormalWeb"/>
              <w:shd w:val="clear" w:color="auto" w:fill="FFFFFF"/>
              <w:spacing w:before="180" w:beforeAutospacing="0" w:after="180" w:afterAutospacing="0"/>
              <w:rPr>
                <w:rFonts w:ascii="Gill Sans MT" w:hAnsi="Gill Sans MT" w:cs="Arial"/>
                <w:b/>
                <w:color w:val="FF0000"/>
                <w:sz w:val="20"/>
                <w:szCs w:val="20"/>
              </w:rPr>
            </w:pPr>
            <w:r w:rsidRPr="00D145F6">
              <w:rPr>
                <w:rFonts w:ascii="Gill Sans MT" w:hAnsi="Gill Sans MT" w:cs="Arial"/>
                <w:b/>
                <w:color w:val="FF0000"/>
                <w:sz w:val="20"/>
                <w:szCs w:val="20"/>
              </w:rPr>
              <w:t xml:space="preserve">6° Assainissement =&gt; compétence </w:t>
            </w:r>
            <w:r w:rsidRPr="00D145F6">
              <w:rPr>
                <w:rFonts w:ascii="Gill Sans MT" w:hAnsi="Gill Sans MT" w:cs="Arial"/>
                <w:b/>
                <w:color w:val="FF0000"/>
                <w:sz w:val="20"/>
                <w:szCs w:val="20"/>
                <w:u w:val="single"/>
              </w:rPr>
              <w:t>obligatoire après le 1</w:t>
            </w:r>
            <w:r w:rsidRPr="00D145F6">
              <w:rPr>
                <w:rFonts w:ascii="Gill Sans MT" w:hAnsi="Gill Sans MT" w:cs="Arial"/>
                <w:b/>
                <w:color w:val="FF0000"/>
                <w:sz w:val="20"/>
                <w:szCs w:val="20"/>
                <w:u w:val="single"/>
                <w:vertAlign w:val="superscript"/>
              </w:rPr>
              <w:t>er</w:t>
            </w:r>
            <w:r w:rsidRPr="00D145F6">
              <w:rPr>
                <w:rFonts w:ascii="Gill Sans MT" w:hAnsi="Gill Sans MT" w:cs="Arial"/>
                <w:b/>
                <w:color w:val="FF0000"/>
                <w:sz w:val="20"/>
                <w:szCs w:val="20"/>
                <w:u w:val="single"/>
              </w:rPr>
              <w:t xml:space="preserve"> janvier 2020</w:t>
            </w:r>
          </w:p>
          <w:p w:rsidR="00B80C66" w:rsidRPr="00D145F6" w:rsidRDefault="00B80C66" w:rsidP="009F0772">
            <w:pPr>
              <w:pStyle w:val="NormalWeb"/>
              <w:shd w:val="clear" w:color="auto" w:fill="FFFFFF"/>
              <w:spacing w:before="180" w:beforeAutospacing="0" w:after="180" w:afterAutospacing="0"/>
              <w:rPr>
                <w:rFonts w:ascii="Gill Sans MT" w:hAnsi="Gill Sans MT" w:cs="Arial"/>
                <w:b/>
                <w:color w:val="FF0000"/>
                <w:sz w:val="20"/>
                <w:szCs w:val="20"/>
              </w:rPr>
            </w:pPr>
            <w:r w:rsidRPr="00D145F6">
              <w:rPr>
                <w:rFonts w:ascii="Gill Sans MT" w:hAnsi="Gill Sans MT" w:cs="Arial"/>
                <w:b/>
                <w:color w:val="FF0000"/>
                <w:sz w:val="20"/>
                <w:szCs w:val="20"/>
              </w:rPr>
              <w:t xml:space="preserve">7° Eau =&gt; </w:t>
            </w:r>
            <w:r w:rsidRPr="00D145F6">
              <w:rPr>
                <w:rFonts w:ascii="Gill Sans MT" w:hAnsi="Gill Sans MT" w:cs="Arial"/>
                <w:b/>
                <w:color w:val="FF0000"/>
                <w:sz w:val="20"/>
                <w:szCs w:val="20"/>
                <w:u w:val="single"/>
              </w:rPr>
              <w:t>compétence obligatoire après le 1</w:t>
            </w:r>
            <w:r w:rsidRPr="00D145F6">
              <w:rPr>
                <w:rFonts w:ascii="Gill Sans MT" w:hAnsi="Gill Sans MT" w:cs="Arial"/>
                <w:b/>
                <w:color w:val="FF0000"/>
                <w:sz w:val="20"/>
                <w:szCs w:val="20"/>
                <w:u w:val="single"/>
                <w:vertAlign w:val="superscript"/>
              </w:rPr>
              <w:t>er</w:t>
            </w:r>
            <w:r w:rsidRPr="00D145F6">
              <w:rPr>
                <w:rFonts w:ascii="Gill Sans MT" w:hAnsi="Gill Sans MT" w:cs="Arial"/>
                <w:b/>
                <w:color w:val="FF0000"/>
                <w:sz w:val="20"/>
                <w:szCs w:val="20"/>
                <w:u w:val="single"/>
              </w:rPr>
              <w:t xml:space="preserve"> janvier 2020</w:t>
            </w:r>
          </w:p>
          <w:p w:rsidR="00B80C66" w:rsidRPr="00D145F6" w:rsidRDefault="00B80C66" w:rsidP="00106AC8">
            <w:pPr>
              <w:pStyle w:val="NormalWeb"/>
              <w:shd w:val="clear" w:color="auto" w:fill="FFFFFF"/>
              <w:spacing w:before="180" w:beforeAutospacing="0" w:after="180" w:afterAutospacing="0"/>
              <w:rPr>
                <w:rFonts w:ascii="Gill Sans MT" w:hAnsi="Gill Sans MT" w:cs="Arial"/>
                <w:color w:val="FF0000"/>
                <w:sz w:val="20"/>
                <w:szCs w:val="20"/>
              </w:rPr>
            </w:pPr>
            <w:r w:rsidRPr="00D145F6">
              <w:rPr>
                <w:rFonts w:ascii="Gill Sans MT" w:hAnsi="Gill Sans MT" w:cs="Arial"/>
                <w:color w:val="FF0000"/>
                <w:sz w:val="20"/>
                <w:szCs w:val="20"/>
              </w:rPr>
              <w:t xml:space="preserve">8° Création et gestion de maisons de services au public </w:t>
            </w:r>
          </w:p>
        </w:tc>
        <w:tc>
          <w:tcPr>
            <w:tcW w:w="3969" w:type="dxa"/>
          </w:tcPr>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u w:val="single"/>
              </w:rPr>
            </w:pPr>
            <w:r w:rsidRPr="00D145F6">
              <w:rPr>
                <w:rFonts w:ascii="Gill Sans MT" w:hAnsi="Gill Sans MT" w:cs="Arial"/>
                <w:color w:val="833C0B" w:themeColor="accent2" w:themeShade="80"/>
                <w:sz w:val="20"/>
                <w:szCs w:val="20"/>
                <w:u w:val="single"/>
              </w:rPr>
              <w:t>Au moins 3 compétences parmi les 7 suivantes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rPr>
            </w:pPr>
            <w:r w:rsidRPr="00D145F6">
              <w:rPr>
                <w:rFonts w:ascii="Gill Sans MT" w:hAnsi="Gill Sans MT" w:cs="Arial"/>
                <w:color w:val="833C0B" w:themeColor="accent2" w:themeShade="80"/>
                <w:sz w:val="20"/>
                <w:szCs w:val="20"/>
              </w:rPr>
              <w:t xml:space="preserve">1° Création ou aménagement et entretien de voirie d'intérêt communautaire ; création ou aménagement et gestion de parcs de stationnement d'intérêt communautaire </w:t>
            </w:r>
          </w:p>
          <w:p w:rsidR="00B80C66" w:rsidRPr="00D145F6" w:rsidRDefault="00B80C66" w:rsidP="009F0772">
            <w:pPr>
              <w:pStyle w:val="NormalWeb"/>
              <w:shd w:val="clear" w:color="auto" w:fill="FFFFFF"/>
              <w:spacing w:before="180" w:beforeAutospacing="0" w:after="180" w:afterAutospacing="0"/>
              <w:rPr>
                <w:rFonts w:ascii="Gill Sans MT" w:hAnsi="Gill Sans MT" w:cs="Arial"/>
                <w:sz w:val="20"/>
                <w:szCs w:val="20"/>
                <w:u w:val="single"/>
              </w:rPr>
            </w:pPr>
            <w:r w:rsidRPr="00D145F6">
              <w:rPr>
                <w:rFonts w:ascii="Gill Sans MT" w:hAnsi="Gill Sans MT" w:cs="Arial"/>
                <w:color w:val="833C0B" w:themeColor="accent2" w:themeShade="80"/>
                <w:sz w:val="20"/>
                <w:szCs w:val="20"/>
                <w:u w:val="single"/>
              </w:rPr>
              <w:t xml:space="preserve">2° Assainissement </w:t>
            </w:r>
            <w:r w:rsidRPr="00D145F6">
              <w:rPr>
                <w:rFonts w:ascii="Gill Sans MT" w:hAnsi="Gill Sans MT" w:cs="Arial"/>
                <w:b/>
                <w:color w:val="FF0000"/>
                <w:sz w:val="20"/>
                <w:szCs w:val="20"/>
              </w:rPr>
              <w:t xml:space="preserve">=&gt; compétence </w:t>
            </w:r>
            <w:r w:rsidRPr="00D145F6">
              <w:rPr>
                <w:rFonts w:ascii="Gill Sans MT" w:hAnsi="Gill Sans MT" w:cs="Arial"/>
                <w:b/>
                <w:color w:val="FF0000"/>
                <w:sz w:val="20"/>
                <w:szCs w:val="20"/>
                <w:u w:val="single"/>
              </w:rPr>
              <w:t>obligatoire après le 1</w:t>
            </w:r>
            <w:r w:rsidRPr="00D145F6">
              <w:rPr>
                <w:rFonts w:ascii="Gill Sans MT" w:hAnsi="Gill Sans MT" w:cs="Arial"/>
                <w:b/>
                <w:color w:val="FF0000"/>
                <w:sz w:val="20"/>
                <w:szCs w:val="20"/>
                <w:u w:val="single"/>
                <w:vertAlign w:val="superscript"/>
              </w:rPr>
              <w:t>er</w:t>
            </w:r>
            <w:r w:rsidRPr="00D145F6">
              <w:rPr>
                <w:rFonts w:ascii="Gill Sans MT" w:hAnsi="Gill Sans MT" w:cs="Arial"/>
                <w:b/>
                <w:color w:val="FF0000"/>
                <w:sz w:val="20"/>
                <w:szCs w:val="20"/>
                <w:u w:val="single"/>
              </w:rPr>
              <w:t xml:space="preserve"> janvier 2020</w:t>
            </w:r>
          </w:p>
          <w:p w:rsidR="00B80C66" w:rsidRPr="00D145F6" w:rsidRDefault="00B80C66" w:rsidP="009F0772">
            <w:pPr>
              <w:pStyle w:val="NormalWeb"/>
              <w:shd w:val="clear" w:color="auto" w:fill="FFFFFF"/>
              <w:spacing w:before="180" w:beforeAutospacing="0" w:after="180" w:afterAutospacing="0"/>
              <w:rPr>
                <w:rFonts w:ascii="Gill Sans MT" w:hAnsi="Gill Sans MT" w:cs="Arial"/>
                <w:sz w:val="20"/>
                <w:szCs w:val="20"/>
                <w:u w:val="single"/>
              </w:rPr>
            </w:pPr>
            <w:r w:rsidRPr="00D145F6">
              <w:rPr>
                <w:rFonts w:ascii="Gill Sans MT" w:hAnsi="Gill Sans MT" w:cs="Arial"/>
                <w:color w:val="833C0B" w:themeColor="accent2" w:themeShade="80"/>
                <w:sz w:val="20"/>
                <w:szCs w:val="20"/>
                <w:u w:val="single"/>
              </w:rPr>
              <w:t xml:space="preserve">3° Eau </w:t>
            </w:r>
            <w:r w:rsidRPr="00D145F6">
              <w:rPr>
                <w:rFonts w:ascii="Gill Sans MT" w:hAnsi="Gill Sans MT" w:cs="Arial"/>
                <w:b/>
                <w:color w:val="FF0000"/>
                <w:sz w:val="20"/>
                <w:szCs w:val="20"/>
              </w:rPr>
              <w:t xml:space="preserve">=&gt; compétence </w:t>
            </w:r>
            <w:r w:rsidRPr="00D145F6">
              <w:rPr>
                <w:rFonts w:ascii="Gill Sans MT" w:hAnsi="Gill Sans MT" w:cs="Arial"/>
                <w:b/>
                <w:color w:val="FF0000"/>
                <w:sz w:val="20"/>
                <w:szCs w:val="20"/>
                <w:u w:val="single"/>
              </w:rPr>
              <w:t>obligatoire après le 1</w:t>
            </w:r>
            <w:r w:rsidRPr="00D145F6">
              <w:rPr>
                <w:rFonts w:ascii="Gill Sans MT" w:hAnsi="Gill Sans MT" w:cs="Arial"/>
                <w:b/>
                <w:color w:val="FF0000"/>
                <w:sz w:val="20"/>
                <w:szCs w:val="20"/>
                <w:u w:val="single"/>
                <w:vertAlign w:val="superscript"/>
              </w:rPr>
              <w:t>er</w:t>
            </w:r>
            <w:r w:rsidRPr="00D145F6">
              <w:rPr>
                <w:rFonts w:ascii="Gill Sans MT" w:hAnsi="Gill Sans MT" w:cs="Arial"/>
                <w:b/>
                <w:color w:val="FF0000"/>
                <w:sz w:val="20"/>
                <w:szCs w:val="20"/>
                <w:u w:val="single"/>
              </w:rPr>
              <w:t xml:space="preserve"> janvier 2020</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rPr>
            </w:pPr>
            <w:r w:rsidRPr="00D145F6">
              <w:rPr>
                <w:rFonts w:ascii="Gill Sans MT" w:hAnsi="Gill Sans MT" w:cs="Arial"/>
                <w:color w:val="833C0B" w:themeColor="accent2" w:themeShade="80"/>
                <w:sz w:val="20"/>
                <w:szCs w:val="20"/>
              </w:rPr>
              <w:t xml:space="preserve">4° En matière de protection et de mise en valeur de l'environnement et du cadre de vie : lutte contre la pollution de l'air, lutte contre les nuisances sonores, soutien aux actions de maîtrise de la demande d'énergie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rPr>
            </w:pPr>
            <w:r w:rsidRPr="00D145F6">
              <w:rPr>
                <w:rFonts w:ascii="Gill Sans MT" w:hAnsi="Gill Sans MT" w:cs="Arial"/>
                <w:color w:val="833C0B" w:themeColor="accent2" w:themeShade="80"/>
                <w:sz w:val="20"/>
                <w:szCs w:val="20"/>
              </w:rPr>
              <w:t xml:space="preserve">5° Construction, aménagement, entretien et gestion d'équipements culturels et sportifs d'intérêt communautaire </w:t>
            </w:r>
          </w:p>
          <w:p w:rsidR="00B80C66" w:rsidRPr="00D145F6" w:rsidRDefault="00B80C66" w:rsidP="009F0772">
            <w:pPr>
              <w:pStyle w:val="NormalWeb"/>
              <w:shd w:val="clear" w:color="auto" w:fill="FFFFFF"/>
              <w:spacing w:before="180" w:beforeAutospacing="0" w:after="180" w:afterAutospacing="0"/>
              <w:rPr>
                <w:rFonts w:ascii="Gill Sans MT" w:hAnsi="Gill Sans MT" w:cs="Arial"/>
                <w:color w:val="833C0B" w:themeColor="accent2" w:themeShade="80"/>
                <w:sz w:val="20"/>
                <w:szCs w:val="20"/>
              </w:rPr>
            </w:pPr>
            <w:r w:rsidRPr="00D145F6">
              <w:rPr>
                <w:rFonts w:ascii="Gill Sans MT" w:hAnsi="Gill Sans MT" w:cs="Arial"/>
                <w:color w:val="833C0B" w:themeColor="accent2" w:themeShade="80"/>
                <w:sz w:val="20"/>
                <w:szCs w:val="20"/>
              </w:rPr>
              <w:t xml:space="preserve">6° Action sociale d'intérêt communautaire </w:t>
            </w:r>
          </w:p>
          <w:p w:rsidR="00B80C66" w:rsidRPr="00D145F6" w:rsidRDefault="00B80C66" w:rsidP="00106AC8">
            <w:pPr>
              <w:pStyle w:val="NormalWeb"/>
              <w:shd w:val="clear" w:color="auto" w:fill="FFFFFF"/>
              <w:spacing w:before="180" w:beforeAutospacing="0" w:after="180" w:afterAutospacing="0"/>
              <w:rPr>
                <w:rFonts w:ascii="Gill Sans MT" w:hAnsi="Gill Sans MT" w:cs="Arial"/>
                <w:color w:val="FF0000"/>
                <w:sz w:val="20"/>
                <w:szCs w:val="20"/>
              </w:rPr>
            </w:pPr>
            <w:r w:rsidRPr="00D145F6">
              <w:rPr>
                <w:rFonts w:ascii="Gill Sans MT" w:hAnsi="Gill Sans MT" w:cs="Arial"/>
                <w:color w:val="FF0000"/>
                <w:sz w:val="20"/>
                <w:szCs w:val="20"/>
              </w:rPr>
              <w:t>7° Création et gestion de maisons de services au public</w:t>
            </w:r>
          </w:p>
        </w:tc>
      </w:tr>
      <w:bookmarkEnd w:id="0"/>
    </w:tbl>
    <w:p w:rsidR="00B80C66" w:rsidRPr="00D145F6" w:rsidRDefault="00B80C66" w:rsidP="00B80C66">
      <w:pPr>
        <w:jc w:val="both"/>
        <w:rPr>
          <w:rFonts w:ascii="Gill Sans MT" w:hAnsi="Gill Sans MT"/>
          <w:sz w:val="20"/>
          <w:szCs w:val="20"/>
        </w:rPr>
      </w:pPr>
    </w:p>
    <w:sectPr w:rsidR="00B80C66" w:rsidRPr="00D14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Std Book">
    <w:panose1 w:val="020B0502020104020203"/>
    <w:charset w:val="00"/>
    <w:family w:val="swiss"/>
    <w:notTrueType/>
    <w:pitch w:val="variable"/>
    <w:sig w:usb0="800000AF" w:usb1="5000205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5741B"/>
    <w:multiLevelType w:val="hybridMultilevel"/>
    <w:tmpl w:val="B6A8F644"/>
    <w:lvl w:ilvl="0" w:tplc="4B100A7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9323DC"/>
    <w:multiLevelType w:val="hybridMultilevel"/>
    <w:tmpl w:val="09520DF6"/>
    <w:lvl w:ilvl="0" w:tplc="D41CD9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2E5406"/>
    <w:multiLevelType w:val="hybridMultilevel"/>
    <w:tmpl w:val="C6902084"/>
    <w:lvl w:ilvl="0" w:tplc="5E905442">
      <w:start w:val="3"/>
      <w:numFmt w:val="bullet"/>
      <w:lvlText w:val="-"/>
      <w:lvlJc w:val="left"/>
      <w:pPr>
        <w:ind w:left="-207" w:hanging="360"/>
      </w:pPr>
      <w:rPr>
        <w:rFonts w:ascii="Gill Sans MT" w:eastAsia="Calibri" w:hAnsi="Gill Sans MT"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15:restartNumberingAfterBreak="0">
    <w:nsid w:val="6ED819AF"/>
    <w:multiLevelType w:val="hybridMultilevel"/>
    <w:tmpl w:val="D32847A6"/>
    <w:lvl w:ilvl="0" w:tplc="25F8FF96">
      <w:start w:val="3"/>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CC"/>
    <w:rsid w:val="00011B4C"/>
    <w:rsid w:val="00033159"/>
    <w:rsid w:val="00064518"/>
    <w:rsid w:val="00093DA8"/>
    <w:rsid w:val="00096153"/>
    <w:rsid w:val="000C595E"/>
    <w:rsid w:val="000D3C51"/>
    <w:rsid w:val="00106AC8"/>
    <w:rsid w:val="00163F52"/>
    <w:rsid w:val="00186B47"/>
    <w:rsid w:val="001970B9"/>
    <w:rsid w:val="001B63C6"/>
    <w:rsid w:val="002140F2"/>
    <w:rsid w:val="00260EB4"/>
    <w:rsid w:val="002A5371"/>
    <w:rsid w:val="002C3EEF"/>
    <w:rsid w:val="002D2D14"/>
    <w:rsid w:val="002F536A"/>
    <w:rsid w:val="00300B3D"/>
    <w:rsid w:val="00311E6D"/>
    <w:rsid w:val="00311FB5"/>
    <w:rsid w:val="003710F4"/>
    <w:rsid w:val="00417643"/>
    <w:rsid w:val="00446930"/>
    <w:rsid w:val="00454AAC"/>
    <w:rsid w:val="004C4BB2"/>
    <w:rsid w:val="00510B68"/>
    <w:rsid w:val="00574035"/>
    <w:rsid w:val="005762AA"/>
    <w:rsid w:val="0057776E"/>
    <w:rsid w:val="00585879"/>
    <w:rsid w:val="005A1D86"/>
    <w:rsid w:val="005B11E1"/>
    <w:rsid w:val="00615AEB"/>
    <w:rsid w:val="006D7728"/>
    <w:rsid w:val="0074705A"/>
    <w:rsid w:val="007554D9"/>
    <w:rsid w:val="007612D0"/>
    <w:rsid w:val="00785F2A"/>
    <w:rsid w:val="007E448D"/>
    <w:rsid w:val="007F0EF5"/>
    <w:rsid w:val="008015B4"/>
    <w:rsid w:val="00831110"/>
    <w:rsid w:val="00877DCE"/>
    <w:rsid w:val="0089032A"/>
    <w:rsid w:val="008B2049"/>
    <w:rsid w:val="00912178"/>
    <w:rsid w:val="00997F43"/>
    <w:rsid w:val="009E3BB1"/>
    <w:rsid w:val="00A0344F"/>
    <w:rsid w:val="00AC7F24"/>
    <w:rsid w:val="00AD1EB8"/>
    <w:rsid w:val="00B37659"/>
    <w:rsid w:val="00B55D3C"/>
    <w:rsid w:val="00B62AD2"/>
    <w:rsid w:val="00B80C66"/>
    <w:rsid w:val="00C4015E"/>
    <w:rsid w:val="00C61114"/>
    <w:rsid w:val="00C916DE"/>
    <w:rsid w:val="00CA3A83"/>
    <w:rsid w:val="00CD15A3"/>
    <w:rsid w:val="00D145F6"/>
    <w:rsid w:val="00D3415D"/>
    <w:rsid w:val="00D461E3"/>
    <w:rsid w:val="00D63B85"/>
    <w:rsid w:val="00D71506"/>
    <w:rsid w:val="00D856AF"/>
    <w:rsid w:val="00DA311A"/>
    <w:rsid w:val="00DE52F0"/>
    <w:rsid w:val="00DE6CF0"/>
    <w:rsid w:val="00E16569"/>
    <w:rsid w:val="00E2314E"/>
    <w:rsid w:val="00E57DCC"/>
    <w:rsid w:val="00E7358C"/>
    <w:rsid w:val="00E7582D"/>
    <w:rsid w:val="00EA30B5"/>
    <w:rsid w:val="00EA51CA"/>
    <w:rsid w:val="00EB79F8"/>
    <w:rsid w:val="00FC5B7D"/>
    <w:rsid w:val="00FE1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E6F8"/>
  <w15:chartTrackingRefBased/>
  <w15:docId w15:val="{AB11AC17-ACC6-4081-B862-51950C7A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8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C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lignage">
    <w:name w:val="surlignage"/>
    <w:basedOn w:val="Policepardfaut"/>
    <w:rsid w:val="00B80C66"/>
  </w:style>
  <w:style w:type="paragraph" w:customStyle="1" w:styleId="Default">
    <w:name w:val="Default"/>
    <w:rsid w:val="00186B47"/>
    <w:pPr>
      <w:autoSpaceDE w:val="0"/>
      <w:autoSpaceDN w:val="0"/>
      <w:adjustRightInd w:val="0"/>
      <w:spacing w:after="0" w:line="240" w:lineRule="auto"/>
    </w:pPr>
    <w:rPr>
      <w:rFonts w:ascii="Gill Sans MT" w:hAnsi="Gill Sans MT" w:cs="Gill Sans MT"/>
      <w:color w:val="000000"/>
      <w:sz w:val="24"/>
      <w:szCs w:val="24"/>
    </w:rPr>
  </w:style>
  <w:style w:type="character" w:styleId="Lienhypertexte">
    <w:name w:val="Hyperlink"/>
    <w:basedOn w:val="Policepardfaut"/>
    <w:uiPriority w:val="99"/>
    <w:unhideWhenUsed/>
    <w:rsid w:val="001970B9"/>
    <w:rPr>
      <w:color w:val="0563C1" w:themeColor="hyperlink"/>
      <w:u w:val="single"/>
    </w:rPr>
  </w:style>
  <w:style w:type="character" w:styleId="Mentionnonrsolue">
    <w:name w:val="Unresolved Mention"/>
    <w:basedOn w:val="Policepardfaut"/>
    <w:uiPriority w:val="99"/>
    <w:semiHidden/>
    <w:unhideWhenUsed/>
    <w:rsid w:val="001970B9"/>
    <w:rPr>
      <w:color w:val="808080"/>
      <w:shd w:val="clear" w:color="auto" w:fill="E6E6E6"/>
    </w:rPr>
  </w:style>
  <w:style w:type="paragraph" w:styleId="Paragraphedeliste">
    <w:name w:val="List Paragraph"/>
    <w:basedOn w:val="Normal"/>
    <w:qFormat/>
    <w:rsid w:val="000C5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0402">
      <w:bodyDiv w:val="1"/>
      <w:marLeft w:val="0"/>
      <w:marRight w:val="0"/>
      <w:marTop w:val="0"/>
      <w:marBottom w:val="0"/>
      <w:divBdr>
        <w:top w:val="none" w:sz="0" w:space="0" w:color="auto"/>
        <w:left w:val="none" w:sz="0" w:space="0" w:color="auto"/>
        <w:bottom w:val="none" w:sz="0" w:space="0" w:color="auto"/>
        <w:right w:val="none" w:sz="0" w:space="0" w:color="auto"/>
      </w:divBdr>
    </w:div>
    <w:div w:id="119691088">
      <w:bodyDiv w:val="1"/>
      <w:marLeft w:val="0"/>
      <w:marRight w:val="0"/>
      <w:marTop w:val="0"/>
      <w:marBottom w:val="0"/>
      <w:divBdr>
        <w:top w:val="none" w:sz="0" w:space="0" w:color="auto"/>
        <w:left w:val="none" w:sz="0" w:space="0" w:color="auto"/>
        <w:bottom w:val="none" w:sz="0" w:space="0" w:color="auto"/>
        <w:right w:val="none" w:sz="0" w:space="0" w:color="auto"/>
      </w:divBdr>
    </w:div>
    <w:div w:id="1583757762">
      <w:bodyDiv w:val="1"/>
      <w:marLeft w:val="0"/>
      <w:marRight w:val="0"/>
      <w:marTop w:val="0"/>
      <w:marBottom w:val="0"/>
      <w:divBdr>
        <w:top w:val="none" w:sz="0" w:space="0" w:color="auto"/>
        <w:left w:val="none" w:sz="0" w:space="0" w:color="auto"/>
        <w:bottom w:val="none" w:sz="0" w:space="0" w:color="auto"/>
        <w:right w:val="none" w:sz="0" w:space="0" w:color="auto"/>
      </w:divBdr>
    </w:div>
    <w:div w:id="1667785679">
      <w:bodyDiv w:val="1"/>
      <w:marLeft w:val="0"/>
      <w:marRight w:val="0"/>
      <w:marTop w:val="0"/>
      <w:marBottom w:val="0"/>
      <w:divBdr>
        <w:top w:val="none" w:sz="0" w:space="0" w:color="auto"/>
        <w:left w:val="none" w:sz="0" w:space="0" w:color="auto"/>
        <w:bottom w:val="none" w:sz="0" w:space="0" w:color="auto"/>
        <w:right w:val="none" w:sz="0" w:space="0" w:color="auto"/>
      </w:divBdr>
    </w:div>
    <w:div w:id="16705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FCCB-F27C-4C66-9767-0C548C96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2911</Words>
  <Characters>16014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VASSEUR</dc:creator>
  <cp:keywords/>
  <dc:description/>
  <cp:lastModifiedBy>Matthieu VASSEUR</cp:lastModifiedBy>
  <cp:revision>4</cp:revision>
  <dcterms:created xsi:type="dcterms:W3CDTF">2017-11-02T10:32:00Z</dcterms:created>
  <dcterms:modified xsi:type="dcterms:W3CDTF">2017-11-02T15:16:00Z</dcterms:modified>
</cp:coreProperties>
</file>